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0DDD" w14:textId="291A13C3" w:rsidR="00AB0498" w:rsidRPr="006F0512" w:rsidRDefault="00AB0498" w:rsidP="00AB0498">
      <w:pPr>
        <w:spacing w:after="120" w:line="240" w:lineRule="auto"/>
        <w:jc w:val="center"/>
        <w:rPr>
          <w:rFonts w:ascii="Gill Sans Nova" w:eastAsia="Arial" w:hAnsi="Gill Sans Nova"/>
          <w:b/>
          <w:bCs/>
          <w:i/>
          <w:iCs/>
          <w:smallCaps/>
          <w:sz w:val="32"/>
          <w:szCs w:val="32"/>
        </w:rPr>
      </w:pPr>
      <w:r>
        <w:rPr>
          <w:rFonts w:ascii="Gill Sans Nova" w:eastAsia="Arial" w:hAnsi="Gill Sans Nova"/>
          <w:b/>
          <w:bCs/>
          <w:i/>
          <w:iCs/>
          <w:smallCaps/>
          <w:sz w:val="32"/>
          <w:szCs w:val="32"/>
        </w:rPr>
        <w:t xml:space="preserve">Program </w:t>
      </w:r>
      <w:proofErr w:type="spellStart"/>
      <w:r>
        <w:rPr>
          <w:rFonts w:ascii="Gill Sans Nova" w:eastAsia="Arial" w:hAnsi="Gill Sans Nova"/>
          <w:b/>
          <w:bCs/>
          <w:i/>
          <w:iCs/>
          <w:smallCaps/>
          <w:sz w:val="32"/>
          <w:szCs w:val="32"/>
        </w:rPr>
        <w:t>ToRs</w:t>
      </w:r>
      <w:proofErr w:type="spellEnd"/>
      <w:r>
        <w:rPr>
          <w:rFonts w:ascii="Gill Sans Nova" w:eastAsia="Arial" w:hAnsi="Gill Sans Nova"/>
          <w:b/>
          <w:bCs/>
          <w:i/>
          <w:iCs/>
          <w:smallCaps/>
          <w:sz w:val="32"/>
          <w:szCs w:val="32"/>
        </w:rPr>
        <w:t xml:space="preserve"> for</w:t>
      </w:r>
      <w:r w:rsidR="00611DAA">
        <w:rPr>
          <w:rFonts w:ascii="Gill Sans Nova" w:eastAsia="Arial" w:hAnsi="Gill Sans Nova"/>
          <w:b/>
          <w:bCs/>
          <w:i/>
          <w:iCs/>
          <w:smallCaps/>
          <w:sz w:val="32"/>
          <w:szCs w:val="32"/>
        </w:rPr>
        <w:t xml:space="preserve"> IOM</w:t>
      </w:r>
      <w:r>
        <w:rPr>
          <w:rFonts w:ascii="Gill Sans Nova" w:eastAsia="Arial" w:hAnsi="Gill Sans Nova"/>
          <w:b/>
          <w:bCs/>
          <w:i/>
          <w:iCs/>
          <w:smallCaps/>
          <w:sz w:val="32"/>
          <w:szCs w:val="32"/>
        </w:rPr>
        <w:t xml:space="preserve"> Prequalification Process 2025</w:t>
      </w:r>
    </w:p>
    <w:p w14:paraId="411A8743" w14:textId="77777777" w:rsidR="00BD0241" w:rsidRDefault="00BD0241" w:rsidP="00BD0241">
      <w:pPr>
        <w:jc w:val="center"/>
      </w:pPr>
    </w:p>
    <w:p w14:paraId="274BFC47" w14:textId="6ED27B47" w:rsidR="00980C50" w:rsidRPr="00F76AE1" w:rsidRDefault="00980C50" w:rsidP="00980C50">
      <w:pPr>
        <w:rPr>
          <w:b/>
          <w:bCs/>
        </w:rPr>
      </w:pPr>
      <w:proofErr w:type="spellStart"/>
      <w:r w:rsidRPr="00F76AE1">
        <w:rPr>
          <w:b/>
          <w:bCs/>
        </w:rPr>
        <w:t>ToR</w:t>
      </w:r>
      <w:proofErr w:type="spellEnd"/>
      <w:r w:rsidRPr="00F76AE1">
        <w:rPr>
          <w:b/>
          <w:bCs/>
        </w:rPr>
        <w:t xml:space="preserve"> of </w:t>
      </w:r>
      <w:r w:rsidR="001C58FC" w:rsidRPr="00F76AE1">
        <w:rPr>
          <w:b/>
          <w:bCs/>
        </w:rPr>
        <w:t xml:space="preserve">Camp Coordination </w:t>
      </w:r>
      <w:r w:rsidR="009D74B2">
        <w:rPr>
          <w:b/>
          <w:bCs/>
        </w:rPr>
        <w:t>a</w:t>
      </w:r>
      <w:r w:rsidR="001C58FC" w:rsidRPr="00F76AE1">
        <w:rPr>
          <w:b/>
          <w:bCs/>
        </w:rPr>
        <w:t>nd Camp Management</w:t>
      </w:r>
    </w:p>
    <w:p w14:paraId="2EF23615" w14:textId="77777777" w:rsidR="00980C50" w:rsidRDefault="00980C50" w:rsidP="00980C50">
      <w:pPr>
        <w:pStyle w:val="ListParagraph"/>
        <w:numPr>
          <w:ilvl w:val="0"/>
          <w:numId w:val="1"/>
        </w:numPr>
      </w:pPr>
      <w:r>
        <w:t>Conduct regular monitoring of needs, maintain comprehensive mapping of site-level service gaps, and</w:t>
      </w:r>
    </w:p>
    <w:p w14:paraId="1D118977" w14:textId="4569F4A6" w:rsidR="00980C50" w:rsidRDefault="00980C50" w:rsidP="00980C50">
      <w:pPr>
        <w:pStyle w:val="ListParagraph"/>
        <w:numPr>
          <w:ilvl w:val="0"/>
          <w:numId w:val="1"/>
        </w:numPr>
      </w:pPr>
      <w:r>
        <w:t>Establish a site-level complaint and feedback mechanism.</w:t>
      </w:r>
    </w:p>
    <w:p w14:paraId="33508639" w14:textId="31BFA819" w:rsidR="00980C50" w:rsidRDefault="00980C50" w:rsidP="00980C50">
      <w:pPr>
        <w:pStyle w:val="ListParagraph"/>
        <w:numPr>
          <w:ilvl w:val="0"/>
          <w:numId w:val="1"/>
        </w:numPr>
      </w:pPr>
      <w:r>
        <w:t>Conduct regular care and maintenance of site infrastructure with a focus on mitigating the impact of seasonal flooding, reducing the risk of the spread of diseases, increasing site safety, through electrical upgrades, solar lights installation, and fire risk reduction, and improving service delivery. Infrastructure works will include measures to reduce GBV risks (lighting, location, etc.).</w:t>
      </w:r>
    </w:p>
    <w:p w14:paraId="7771383D" w14:textId="1E4BFEC4" w:rsidR="00980C50" w:rsidRDefault="00980C50" w:rsidP="00980C50">
      <w:pPr>
        <w:pStyle w:val="ListParagraph"/>
        <w:numPr>
          <w:ilvl w:val="0"/>
          <w:numId w:val="1"/>
        </w:numPr>
      </w:pPr>
      <w:r>
        <w:t>Conduct community mobilization and capacity-building, including awareness-raising on preparedness and response, encouraging community participation, and creating opportunities for often excluded groups, such as women, persons with disabilities, and youth, to take part in camp leadership and other empowerment initiatives.</w:t>
      </w:r>
    </w:p>
    <w:p w14:paraId="395C0340" w14:textId="783BF880" w:rsidR="00980C50" w:rsidRDefault="00980C50" w:rsidP="00980C50">
      <w:pPr>
        <w:pStyle w:val="ListParagraph"/>
        <w:numPr>
          <w:ilvl w:val="0"/>
          <w:numId w:val="1"/>
        </w:numPr>
      </w:pPr>
      <w:r>
        <w:t>Set up and or reinforce representative community governance structures to promote community participation in sites, including promoting the active involvement of marginalized groups, e.g. women and persons with disability, in decision-making processes to ensure a fair, community-centered, and needs-based response. Sub-activities within community participation include the setup and capacity-building of representative community groups; awareness campaigns on topics related to service provision, beneficiary rights, prevention of sexual exploitation and abuse (PSEA), site safety and complaints and feedback mechanisms to ensure two-way communication with the IDPs; and on-the job skill training for IDPs.</w:t>
      </w:r>
    </w:p>
    <w:p w14:paraId="7892CD22" w14:textId="1B54763F" w:rsidR="00980C50" w:rsidRDefault="00980C50" w:rsidP="00980C50">
      <w:pPr>
        <w:pStyle w:val="ListParagraph"/>
        <w:numPr>
          <w:ilvl w:val="0"/>
          <w:numId w:val="1"/>
        </w:numPr>
      </w:pPr>
      <w:r>
        <w:t>Support local capacity among authorities, organizations and community leaders in site management for purposes of future site handover and management.</w:t>
      </w:r>
    </w:p>
    <w:p w14:paraId="20CAFB3C" w14:textId="7C3B4A48" w:rsidR="00980C50" w:rsidRDefault="00980C50" w:rsidP="00980C50">
      <w:pPr>
        <w:pStyle w:val="ListParagraph"/>
        <w:numPr>
          <w:ilvl w:val="0"/>
          <w:numId w:val="1"/>
        </w:numPr>
      </w:pPr>
      <w:r>
        <w:t>As hundreds of settlements in Yemen remain without camp management partners, look to expand CCCM coverage to support unmanaged sites suffering from a lack of basic services.</w:t>
      </w:r>
      <w:r>
        <w:cr/>
      </w:r>
    </w:p>
    <w:p w14:paraId="62BD4DE4" w14:textId="4FCE0D7A" w:rsidR="00980C50" w:rsidRPr="00F76AE1" w:rsidRDefault="00980C50" w:rsidP="00980C50">
      <w:pPr>
        <w:rPr>
          <w:b/>
          <w:bCs/>
        </w:rPr>
      </w:pPr>
      <w:proofErr w:type="spellStart"/>
      <w:r w:rsidRPr="00F76AE1">
        <w:rPr>
          <w:b/>
          <w:bCs/>
        </w:rPr>
        <w:t>ToR</w:t>
      </w:r>
      <w:proofErr w:type="spellEnd"/>
      <w:r w:rsidRPr="00F76AE1">
        <w:rPr>
          <w:b/>
          <w:bCs/>
        </w:rPr>
        <w:t xml:space="preserve"> for </w:t>
      </w:r>
      <w:r w:rsidR="001C58FC" w:rsidRPr="00F76AE1">
        <w:rPr>
          <w:b/>
          <w:bCs/>
        </w:rPr>
        <w:t>Direct Health Support</w:t>
      </w:r>
    </w:p>
    <w:p w14:paraId="68FB1ED0" w14:textId="20FCAD30" w:rsidR="00980C50" w:rsidRDefault="00980C50" w:rsidP="00980C50">
      <w:pPr>
        <w:pStyle w:val="ListParagraph"/>
        <w:numPr>
          <w:ilvl w:val="0"/>
          <w:numId w:val="3"/>
        </w:numPr>
      </w:pPr>
      <w:r>
        <w:t>Provide essential primary and secondary healthcare through IOM mobile and static primary and secondary health facilities across the country (where access permits).</w:t>
      </w:r>
    </w:p>
    <w:p w14:paraId="731B6CDC" w14:textId="7C3530AE" w:rsidR="00980C50" w:rsidRDefault="00980C50" w:rsidP="00980C50">
      <w:pPr>
        <w:pStyle w:val="ListParagraph"/>
        <w:numPr>
          <w:ilvl w:val="0"/>
          <w:numId w:val="3"/>
        </w:numPr>
      </w:pPr>
      <w:r>
        <w:t>Provide essential operational support (supplies, equipment, incentives) to static health facilities to enhance intake capacity, including reception, registration, and internal referral, medicines and medical supplies in line with national and Cluster standards.</w:t>
      </w:r>
    </w:p>
    <w:p w14:paraId="7E549E56" w14:textId="6047A02F" w:rsidR="00980C50" w:rsidRDefault="00980C50" w:rsidP="00980C50">
      <w:pPr>
        <w:pStyle w:val="ListParagraph"/>
        <w:numPr>
          <w:ilvl w:val="0"/>
          <w:numId w:val="3"/>
        </w:numPr>
      </w:pPr>
      <w:r>
        <w:t>Ensure rational access to secondary and tertiary healthcare through an ambulance referral system for emergency medical cases.</w:t>
      </w:r>
    </w:p>
    <w:p w14:paraId="0F4B5270" w14:textId="77777777" w:rsidR="00980C50" w:rsidRDefault="00980C50" w:rsidP="00980C50">
      <w:pPr>
        <w:pStyle w:val="ListParagraph"/>
        <w:numPr>
          <w:ilvl w:val="0"/>
          <w:numId w:val="3"/>
        </w:numPr>
      </w:pPr>
      <w:r>
        <w:t>Support mass and routine vaccinations</w:t>
      </w:r>
    </w:p>
    <w:p w14:paraId="53AE95AB" w14:textId="5247DDD6" w:rsidR="00980C50" w:rsidRDefault="00980C50" w:rsidP="00980C50">
      <w:pPr>
        <w:pStyle w:val="ListParagraph"/>
        <w:numPr>
          <w:ilvl w:val="0"/>
          <w:numId w:val="3"/>
        </w:numPr>
      </w:pPr>
      <w:r>
        <w:t xml:space="preserve">Encourage healthy living, improve health seeking </w:t>
      </w:r>
      <w:proofErr w:type="spellStart"/>
      <w:r>
        <w:t>behaviour</w:t>
      </w:r>
      <w:proofErr w:type="spellEnd"/>
      <w:r>
        <w:t xml:space="preserve"> and utilization of the essential health service package among IDPs, migrants and host community through trained community health volunteers.</w:t>
      </w:r>
    </w:p>
    <w:p w14:paraId="3CA123F0" w14:textId="77777777" w:rsidR="00CF4A19" w:rsidRDefault="00CF4A19" w:rsidP="00CF4A19">
      <w:pPr>
        <w:pStyle w:val="ListParagraph"/>
        <w:numPr>
          <w:ilvl w:val="0"/>
          <w:numId w:val="3"/>
        </w:numPr>
      </w:pPr>
      <w:r w:rsidRPr="00CF4A19">
        <w:lastRenderedPageBreak/>
        <w:t xml:space="preserve">Where possible, provide mental health services for people with moderate to severe mental health conditions, including referrals to and direct psychiatric consultations and treatments. </w:t>
      </w:r>
    </w:p>
    <w:p w14:paraId="6ADD52AF" w14:textId="77777777" w:rsidR="00CF4A19" w:rsidRDefault="00CF4A19" w:rsidP="00CF4A19">
      <w:pPr>
        <w:pStyle w:val="ListParagraph"/>
        <w:numPr>
          <w:ilvl w:val="0"/>
          <w:numId w:val="3"/>
        </w:numPr>
      </w:pPr>
      <w:r w:rsidRPr="00CF4A19">
        <w:t xml:space="preserve">Strengthen capacity to identify, refer, treat and follow up with people with severe mental disorders. This includes capacity-building for health workers in psychological first aid (PFA) and identification of individuals with MHPSS needs. </w:t>
      </w:r>
    </w:p>
    <w:p w14:paraId="44D9AA5B" w14:textId="77777777" w:rsidR="00CF4A19" w:rsidRDefault="00CF4A19" w:rsidP="00CF4A19">
      <w:pPr>
        <w:pStyle w:val="ListParagraph"/>
        <w:numPr>
          <w:ilvl w:val="0"/>
          <w:numId w:val="3"/>
        </w:numPr>
      </w:pPr>
      <w:r w:rsidRPr="00CF4A19">
        <w:t xml:space="preserve">Provide focused MHPSS services, including individual and group counselling by psychologists, and remote counselling via a hotline. </w:t>
      </w:r>
    </w:p>
    <w:p w14:paraId="784E7E5B" w14:textId="77777777" w:rsidR="00CF4A19" w:rsidRDefault="00CF4A19" w:rsidP="00CF4A19">
      <w:pPr>
        <w:pStyle w:val="ListParagraph"/>
        <w:numPr>
          <w:ilvl w:val="0"/>
          <w:numId w:val="3"/>
        </w:numPr>
      </w:pPr>
      <w:r w:rsidRPr="00CF4A19">
        <w:t xml:space="preserve">Conduct community-based MHPSS activities, including socio-relational activities, psychoeducation sessions, and information campaigns in health facilities and during community outreach activities. </w:t>
      </w:r>
    </w:p>
    <w:p w14:paraId="50135E50" w14:textId="77777777" w:rsidR="00CF4A19" w:rsidRDefault="00CF4A19" w:rsidP="00CF4A19">
      <w:pPr>
        <w:pStyle w:val="ListParagraph"/>
        <w:numPr>
          <w:ilvl w:val="0"/>
          <w:numId w:val="3"/>
        </w:numPr>
      </w:pPr>
      <w:r w:rsidRPr="00CF4A19">
        <w:t xml:space="preserve">In coordination with the Ministry of Health and Population, provide capacity-building for frontline workers and community members in basic psychosocial skills including PFA. </w:t>
      </w:r>
    </w:p>
    <w:p w14:paraId="73291DD8" w14:textId="77777777" w:rsidR="00CF4A19" w:rsidRDefault="00CF4A19" w:rsidP="00CF4A19">
      <w:pPr>
        <w:pStyle w:val="ListParagraph"/>
        <w:numPr>
          <w:ilvl w:val="0"/>
          <w:numId w:val="3"/>
        </w:numPr>
      </w:pPr>
      <w:r w:rsidRPr="00CF4A19">
        <w:t xml:space="preserve">Improve and/or establish referral pathways for MHPSS services. </w:t>
      </w:r>
    </w:p>
    <w:p w14:paraId="3458C25B" w14:textId="12160E23" w:rsidR="00CF4A19" w:rsidRDefault="00CF4A19" w:rsidP="00CF4A19">
      <w:pPr>
        <w:pStyle w:val="ListParagraph"/>
        <w:numPr>
          <w:ilvl w:val="0"/>
          <w:numId w:val="3"/>
        </w:numPr>
      </w:pPr>
      <w:r w:rsidRPr="00CF4A19">
        <w:t>Support safe and private spaces for MHPSS services at existing health facilities and within IDP sites.</w:t>
      </w:r>
    </w:p>
    <w:p w14:paraId="1B24B2D3" w14:textId="77777777" w:rsidR="00CF4A19" w:rsidRDefault="00CF4A19" w:rsidP="00CF4A19"/>
    <w:p w14:paraId="785C579D" w14:textId="596A40EE" w:rsidR="00980C50" w:rsidRPr="00F76AE1" w:rsidRDefault="00980C50" w:rsidP="00980C50">
      <w:pPr>
        <w:rPr>
          <w:b/>
          <w:bCs/>
        </w:rPr>
      </w:pPr>
      <w:proofErr w:type="spellStart"/>
      <w:r w:rsidRPr="00F76AE1">
        <w:rPr>
          <w:b/>
          <w:bCs/>
        </w:rPr>
        <w:t>ToR</w:t>
      </w:r>
      <w:proofErr w:type="spellEnd"/>
      <w:r w:rsidRPr="00F76AE1">
        <w:rPr>
          <w:b/>
          <w:bCs/>
        </w:rPr>
        <w:t xml:space="preserve"> for </w:t>
      </w:r>
      <w:r w:rsidR="001C58FC" w:rsidRPr="00F76AE1">
        <w:rPr>
          <w:b/>
          <w:bCs/>
        </w:rPr>
        <w:t>Protection</w:t>
      </w:r>
    </w:p>
    <w:p w14:paraId="66D2192E" w14:textId="77777777" w:rsidR="00980C50" w:rsidRDefault="00980C50" w:rsidP="00980C50">
      <w:pPr>
        <w:pStyle w:val="ListParagraph"/>
        <w:numPr>
          <w:ilvl w:val="0"/>
          <w:numId w:val="4"/>
        </w:numPr>
      </w:pPr>
      <w:r w:rsidRPr="00980C50">
        <w:t xml:space="preserve">Continue to strengthen protection mainstreaming and GBV risk mitigation across all multisectoral programming, and train staff, partners and duty bearers on protection standards including safe identification and referrals. </w:t>
      </w:r>
    </w:p>
    <w:p w14:paraId="5FEC42DF" w14:textId="77777777" w:rsidR="00980C50" w:rsidRDefault="00980C50" w:rsidP="00980C50">
      <w:pPr>
        <w:pStyle w:val="ListParagraph"/>
        <w:numPr>
          <w:ilvl w:val="0"/>
          <w:numId w:val="4"/>
        </w:numPr>
      </w:pPr>
      <w:r w:rsidRPr="00980C50">
        <w:t xml:space="preserve">Scale up direct assistance through establishing and/or expanding migrant response points (MRPs), community response points, protection desks, and mobile response teams. </w:t>
      </w:r>
    </w:p>
    <w:p w14:paraId="594A4972" w14:textId="77777777" w:rsidR="00980C50" w:rsidRDefault="00980C50" w:rsidP="00980C50">
      <w:pPr>
        <w:pStyle w:val="ListParagraph"/>
        <w:numPr>
          <w:ilvl w:val="0"/>
          <w:numId w:val="4"/>
        </w:numPr>
      </w:pPr>
      <w:r w:rsidRPr="00980C50">
        <w:t xml:space="preserve">Across Yemen, continue to provide protection case management, protection monitoring, specialized service provision and referrals for persons at risk to services including legal aid, MHPSS, medical assistance among others to address immediate needs for survivors of GBV, unaccompanied or separated children, victims of trafficking and other vulnerable people. </w:t>
      </w:r>
    </w:p>
    <w:p w14:paraId="5257DFE3" w14:textId="77777777" w:rsidR="00980C50" w:rsidRDefault="00980C50" w:rsidP="00980C50">
      <w:pPr>
        <w:pStyle w:val="ListParagraph"/>
        <w:numPr>
          <w:ilvl w:val="0"/>
          <w:numId w:val="4"/>
        </w:numPr>
      </w:pPr>
      <w:r w:rsidRPr="00980C50">
        <w:t xml:space="preserve">Improve access to information on civil status documentation and individuals’ rights and entitlements. </w:t>
      </w:r>
    </w:p>
    <w:p w14:paraId="32443D92" w14:textId="7FD25D4A" w:rsidR="00980C50" w:rsidRDefault="00980C50" w:rsidP="00980C50">
      <w:pPr>
        <w:pStyle w:val="ListParagraph"/>
        <w:numPr>
          <w:ilvl w:val="0"/>
          <w:numId w:val="4"/>
        </w:numPr>
      </w:pPr>
      <w:r w:rsidRPr="00980C50">
        <w:t>Reinforce community-based protection networks and community protection committees for the sustainable, community-driven identification, response, prevention and referral of protection cases. IOM will conduct protection advocacy targeted towards key partners against the human rights abuses and inhumane treatment of vulnerable migrants in Yemen, promote access to essential service for migrants and continue to support the development of long-term protection-sensitive and rights based solutions in Yemen.</w:t>
      </w:r>
    </w:p>
    <w:p w14:paraId="263C8D6C" w14:textId="77777777" w:rsidR="00CF4A19" w:rsidRDefault="00CF4A19" w:rsidP="00CF4A19"/>
    <w:p w14:paraId="4C8ED48F" w14:textId="7B8ED708" w:rsidR="00CF4A19" w:rsidRPr="00F76AE1" w:rsidRDefault="00CF4A19" w:rsidP="00CF4A19">
      <w:pPr>
        <w:rPr>
          <w:b/>
          <w:bCs/>
        </w:rPr>
      </w:pPr>
      <w:proofErr w:type="spellStart"/>
      <w:r w:rsidRPr="00F76AE1">
        <w:rPr>
          <w:b/>
          <w:bCs/>
        </w:rPr>
        <w:t>ToR</w:t>
      </w:r>
      <w:proofErr w:type="spellEnd"/>
      <w:r w:rsidRPr="00F76AE1">
        <w:rPr>
          <w:b/>
          <w:bCs/>
        </w:rPr>
        <w:t xml:space="preserve"> of </w:t>
      </w:r>
      <w:r w:rsidR="001C58FC" w:rsidRPr="00F76AE1">
        <w:rPr>
          <w:b/>
          <w:bCs/>
        </w:rPr>
        <w:t>Water, Sanitation and Hygiene in Emergencies</w:t>
      </w:r>
    </w:p>
    <w:p w14:paraId="5BA53E37" w14:textId="77777777" w:rsidR="00CF4A19" w:rsidRDefault="00CF4A19" w:rsidP="00CF4A19">
      <w:pPr>
        <w:pStyle w:val="ListParagraph"/>
        <w:numPr>
          <w:ilvl w:val="0"/>
          <w:numId w:val="5"/>
        </w:numPr>
      </w:pPr>
      <w:r w:rsidRPr="00CF4A19">
        <w:t xml:space="preserve">As part of its emergency response, deliver life-saving WASH support in displacement sites and underserved/hard-to-reach areas to address high WASH needs and gaps in services. </w:t>
      </w:r>
    </w:p>
    <w:p w14:paraId="4C6F48AC" w14:textId="77777777" w:rsidR="00CF4A19" w:rsidRDefault="00CF4A19" w:rsidP="00CF4A19">
      <w:pPr>
        <w:pStyle w:val="ListParagraph"/>
        <w:numPr>
          <w:ilvl w:val="0"/>
          <w:numId w:val="5"/>
        </w:numPr>
      </w:pPr>
      <w:r w:rsidRPr="00CF4A19">
        <w:lastRenderedPageBreak/>
        <w:t xml:space="preserve">Activities will include emergency water supply, rapid rehabilitation of water supply systems and sanitation infrastructure, and solid waste collection and disposal among other interventions. </w:t>
      </w:r>
    </w:p>
    <w:p w14:paraId="169FB2E1" w14:textId="77777777" w:rsidR="00CF4A19" w:rsidRDefault="00CF4A19" w:rsidP="00CF4A19">
      <w:pPr>
        <w:pStyle w:val="ListParagraph"/>
        <w:numPr>
          <w:ilvl w:val="0"/>
          <w:numId w:val="5"/>
        </w:numPr>
      </w:pPr>
      <w:r w:rsidRPr="00CF4A19">
        <w:t xml:space="preserve">Mainstream WASH infection prevention, and control activities into existing and planned interventions when required in response to disease outbreaks. </w:t>
      </w:r>
    </w:p>
    <w:p w14:paraId="05D5B047" w14:textId="6443C314" w:rsidR="00CF4A19" w:rsidRDefault="00CF4A19" w:rsidP="00CF4A19">
      <w:pPr>
        <w:pStyle w:val="ListParagraph"/>
        <w:numPr>
          <w:ilvl w:val="0"/>
          <w:numId w:val="5"/>
        </w:numPr>
      </w:pPr>
      <w:r w:rsidRPr="00CF4A19">
        <w:t>Conduct sensitization campaigns and ensure that communities have the tools necessary to protect themselves from WASH-related diseases including, but not limited to, water-borne diseases such as cholera, vector-borne diseases such as malaria, and communicable diseases.</w:t>
      </w:r>
    </w:p>
    <w:p w14:paraId="69CE7128" w14:textId="77777777" w:rsidR="00CF4A19" w:rsidRDefault="00CF4A19" w:rsidP="00CF4A19">
      <w:pPr>
        <w:pStyle w:val="ListParagraph"/>
      </w:pPr>
    </w:p>
    <w:p w14:paraId="113B62F0" w14:textId="77777777" w:rsidR="00D609A0" w:rsidRPr="00F76AE1" w:rsidRDefault="00CF4A19" w:rsidP="00D609A0">
      <w:pPr>
        <w:rPr>
          <w:b/>
          <w:bCs/>
        </w:rPr>
      </w:pPr>
      <w:proofErr w:type="spellStart"/>
      <w:r w:rsidRPr="00F76AE1">
        <w:rPr>
          <w:b/>
          <w:bCs/>
        </w:rPr>
        <w:t>ToR</w:t>
      </w:r>
      <w:proofErr w:type="spellEnd"/>
      <w:r w:rsidRPr="00F76AE1">
        <w:rPr>
          <w:b/>
          <w:bCs/>
        </w:rPr>
        <w:t xml:space="preserve"> </w:t>
      </w:r>
      <w:r w:rsidR="00D609A0" w:rsidRPr="00F76AE1">
        <w:rPr>
          <w:b/>
          <w:bCs/>
        </w:rPr>
        <w:t>Shelter and Settlements and Emergency Response</w:t>
      </w:r>
    </w:p>
    <w:p w14:paraId="1DECA241" w14:textId="2E4F5DEA" w:rsidR="00CF4A19" w:rsidRDefault="00CF4A19" w:rsidP="007958F0">
      <w:pPr>
        <w:pStyle w:val="ListParagraph"/>
        <w:numPr>
          <w:ilvl w:val="0"/>
          <w:numId w:val="8"/>
        </w:numPr>
      </w:pPr>
      <w:r w:rsidRPr="00CF4A19">
        <w:t xml:space="preserve">Distribute critical household items, emergency shelter kits (ESKs) and family tents to vulnerable populations affected by conflict or disasters in response to new displacements or shocks, or to cover response gaps in displacement sites, including IDPs, host communities, persons living in sub-standard shelters and inadequate living conditions. </w:t>
      </w:r>
    </w:p>
    <w:p w14:paraId="58020BD9" w14:textId="77777777" w:rsidR="00CF4A19" w:rsidRDefault="00CF4A19" w:rsidP="00CF4A19">
      <w:pPr>
        <w:pStyle w:val="ListParagraph"/>
        <w:numPr>
          <w:ilvl w:val="0"/>
          <w:numId w:val="6"/>
        </w:numPr>
      </w:pPr>
      <w:r w:rsidRPr="00CF4A19">
        <w:t xml:space="preserve">Where IDPs have been displaced for over six months, IOM will provide shelter items and technical support for transitional shelters or rehabilitate existing shelters in line with full Housing, Land, Property (HLP) Due Diligence. </w:t>
      </w:r>
    </w:p>
    <w:p w14:paraId="0A560E58" w14:textId="77777777" w:rsidR="00CF4A19" w:rsidRDefault="00CF4A19" w:rsidP="00CF4A19">
      <w:pPr>
        <w:pStyle w:val="ListParagraph"/>
        <w:numPr>
          <w:ilvl w:val="0"/>
          <w:numId w:val="6"/>
        </w:numPr>
      </w:pPr>
      <w:r w:rsidRPr="00CF4A19">
        <w:t xml:space="preserve">Carry out rehabilitation of damaged and/or worn-out emergency shelters. Emergency shelter rehabilitation activities will promote the dignity of vulnerable groups and protect IDPs from harsh weather conditions by installing thermal insulation on walls and roofs as well as ground insulation in shelters. </w:t>
      </w:r>
    </w:p>
    <w:p w14:paraId="6519CC4C" w14:textId="618D71DD" w:rsidR="00CF4A19" w:rsidRDefault="00CF4A19" w:rsidP="00CF4A19">
      <w:pPr>
        <w:pStyle w:val="ListParagraph"/>
        <w:numPr>
          <w:ilvl w:val="0"/>
          <w:numId w:val="6"/>
        </w:numPr>
      </w:pPr>
      <w:r w:rsidRPr="00CF4A19">
        <w:t>Facilitating the provision of coordinated, timely and relevant life-saving humanitarian assistance to the most vulnerable by ensuring the common procurement of essential relief items.</w:t>
      </w:r>
    </w:p>
    <w:p w14:paraId="2B3DC0F1" w14:textId="77777777" w:rsidR="00CF4A19" w:rsidRDefault="00CF4A19" w:rsidP="00CF4A19">
      <w:pPr>
        <w:pStyle w:val="ListParagraph"/>
        <w:numPr>
          <w:ilvl w:val="0"/>
          <w:numId w:val="6"/>
        </w:numPr>
      </w:pPr>
      <w:r w:rsidRPr="00CF4A19">
        <w:t xml:space="preserve">Conduct risk analysis including hazard and resource mapping to identify hazards and relevant gaps in services and response including warehouse capacity, prepositioning capability, and accessibility of relief items at the state and community levels. </w:t>
      </w:r>
    </w:p>
    <w:p w14:paraId="0A5B2E0C" w14:textId="77777777" w:rsidR="00CF4A19" w:rsidRDefault="00CF4A19" w:rsidP="00CF4A19">
      <w:pPr>
        <w:pStyle w:val="ListParagraph"/>
        <w:numPr>
          <w:ilvl w:val="0"/>
          <w:numId w:val="6"/>
        </w:numPr>
      </w:pPr>
      <w:r w:rsidRPr="00CF4A19">
        <w:t xml:space="preserve">Enhance dissemination and communication of alerts to communities before disasters through early warning systems and public awareness campaigns. </w:t>
      </w:r>
    </w:p>
    <w:p w14:paraId="5BE09884" w14:textId="77777777" w:rsidR="00CF4A19" w:rsidRDefault="00CF4A19" w:rsidP="00CF4A19">
      <w:pPr>
        <w:pStyle w:val="ListParagraph"/>
        <w:numPr>
          <w:ilvl w:val="0"/>
          <w:numId w:val="6"/>
        </w:numPr>
      </w:pPr>
      <w:r w:rsidRPr="00CF4A19">
        <w:t xml:space="preserve">Improve communities/civil protection groups’ preparedness to respond to crises through strengthening capacity on monitoring and evaluation, reporting, warehouse management, early warning/action tools and coordination among other key aspects. </w:t>
      </w:r>
    </w:p>
    <w:p w14:paraId="5E40A0DB" w14:textId="67023CBA" w:rsidR="00CF4A19" w:rsidRDefault="00CF4A19" w:rsidP="00CF4A19">
      <w:pPr>
        <w:pStyle w:val="ListParagraph"/>
        <w:numPr>
          <w:ilvl w:val="0"/>
          <w:numId w:val="6"/>
        </w:numPr>
      </w:pPr>
      <w:r w:rsidRPr="00CF4A19">
        <w:t>Procure, preposition, and distribute key supplies and items to rapidly response to emergencies.</w:t>
      </w:r>
    </w:p>
    <w:p w14:paraId="1FF045DE" w14:textId="77777777" w:rsidR="00CF4A19" w:rsidRDefault="00CF4A19" w:rsidP="00CF4A19"/>
    <w:p w14:paraId="41863A93" w14:textId="1DF3A1AA" w:rsidR="00CF4A19" w:rsidRPr="00F76AE1" w:rsidRDefault="00CF4A19" w:rsidP="00CF4A19">
      <w:pPr>
        <w:rPr>
          <w:b/>
          <w:bCs/>
        </w:rPr>
      </w:pPr>
      <w:proofErr w:type="spellStart"/>
      <w:r w:rsidRPr="00F76AE1">
        <w:rPr>
          <w:b/>
          <w:bCs/>
        </w:rPr>
        <w:t>ToR</w:t>
      </w:r>
      <w:proofErr w:type="spellEnd"/>
      <w:r w:rsidRPr="00F76AE1">
        <w:rPr>
          <w:b/>
          <w:bCs/>
        </w:rPr>
        <w:t xml:space="preserve"> for </w:t>
      </w:r>
      <w:r w:rsidR="001965BA" w:rsidRPr="00F76AE1">
        <w:rPr>
          <w:b/>
          <w:bCs/>
        </w:rPr>
        <w:t xml:space="preserve">Basic Needs, Including Food </w:t>
      </w:r>
      <w:r w:rsidR="009D74B2">
        <w:rPr>
          <w:b/>
          <w:bCs/>
        </w:rPr>
        <w:t>a</w:t>
      </w:r>
      <w:r w:rsidR="001965BA" w:rsidRPr="00F76AE1">
        <w:rPr>
          <w:b/>
          <w:bCs/>
        </w:rPr>
        <w:t>nd Multi-Purpose Cash Assistance</w:t>
      </w:r>
    </w:p>
    <w:p w14:paraId="007DA58B" w14:textId="77777777" w:rsidR="00CF4A19" w:rsidRDefault="00CF4A19" w:rsidP="00CF4A19">
      <w:pPr>
        <w:pStyle w:val="ListParagraph"/>
        <w:numPr>
          <w:ilvl w:val="0"/>
          <w:numId w:val="7"/>
        </w:numPr>
      </w:pPr>
      <w:r w:rsidRPr="00CF4A19">
        <w:t xml:space="preserve">Distribute multi-purpose cash assistance (MPCA) and continue its co-leadership of the Rapid Response Mechanism (RRM) cluster (together with the United Nations Populations Fund) and the Cash Consortium of Yemen (CCY). </w:t>
      </w:r>
    </w:p>
    <w:p w14:paraId="1E44ED00" w14:textId="4B2FB69E" w:rsidR="00CF4A19" w:rsidRDefault="00CF4A19" w:rsidP="00CF4A19">
      <w:pPr>
        <w:pStyle w:val="ListParagraph"/>
        <w:numPr>
          <w:ilvl w:val="0"/>
          <w:numId w:val="7"/>
        </w:numPr>
      </w:pPr>
      <w:r w:rsidRPr="00CF4A19">
        <w:lastRenderedPageBreak/>
        <w:t>Provide rapid earning opportunities through cash for work to unskilled and semi-skilled individuals, with a focus on the inclusion of women, on projects designed to improve the living conditions in conflict-affected communities. These mainly include the rehabilitation of water and sanitation systems, irrigation systems, shelter structures, and rehabilitation of basic community infrastructure.</w:t>
      </w:r>
    </w:p>
    <w:p w14:paraId="63AB0EAA" w14:textId="77777777" w:rsidR="001965BA" w:rsidRDefault="001965BA" w:rsidP="001965BA"/>
    <w:p w14:paraId="7BFAE9C3" w14:textId="43FBA91F" w:rsidR="00C83920" w:rsidRDefault="001965BA" w:rsidP="00E53852">
      <w:r>
        <w:t xml:space="preserve">Please Choose the Programs that you would like to apply </w:t>
      </w:r>
      <w:r w:rsidR="00A2522A">
        <w:t>for</w:t>
      </w:r>
      <w:r>
        <w:t xml:space="preserve"> its prequalification </w:t>
      </w:r>
      <w:r w:rsidR="00C83920">
        <w:t>process</w:t>
      </w:r>
      <w:r w:rsidR="00D81AC0">
        <w:t xml:space="preserve">, kindly take into consideration that the organization will have to </w:t>
      </w:r>
      <w:r w:rsidR="007A49CC">
        <w:t>prove</w:t>
      </w:r>
      <w:r w:rsidR="00D81AC0">
        <w:t xml:space="preserve"> </w:t>
      </w:r>
      <w:r w:rsidR="007A49CC">
        <w:t>experience related to the selected program</w:t>
      </w:r>
      <w:r w:rsidR="00E53852">
        <w:t>/s</w:t>
      </w:r>
      <w:r w:rsidR="00C83920">
        <w:t>:</w:t>
      </w:r>
    </w:p>
    <w:p w14:paraId="4B4F5A61" w14:textId="77777777" w:rsidR="00E53852" w:rsidRDefault="00E53852" w:rsidP="00E53852"/>
    <w:tbl>
      <w:tblPr>
        <w:tblStyle w:val="TableGrid"/>
        <w:tblW w:w="0" w:type="auto"/>
        <w:tblLook w:val="04A0" w:firstRow="1" w:lastRow="0" w:firstColumn="1" w:lastColumn="0" w:noHBand="0" w:noVBand="1"/>
      </w:tblPr>
      <w:tblGrid>
        <w:gridCol w:w="4675"/>
        <w:gridCol w:w="4675"/>
      </w:tblGrid>
      <w:tr w:rsidR="00D609A0" w14:paraId="5FAD0289" w14:textId="77777777" w:rsidTr="00C83920">
        <w:tc>
          <w:tcPr>
            <w:tcW w:w="4675" w:type="dxa"/>
          </w:tcPr>
          <w:p w14:paraId="2E6FF080" w14:textId="44A64ACD" w:rsidR="00D609A0" w:rsidRPr="00F76AE1" w:rsidRDefault="0006307A" w:rsidP="00C83920">
            <w:pPr>
              <w:rPr>
                <w:b/>
                <w:bCs/>
              </w:rPr>
            </w:pPr>
            <w:r w:rsidRPr="00F76AE1">
              <w:rPr>
                <w:b/>
                <w:bCs/>
              </w:rPr>
              <w:t>Program</w:t>
            </w:r>
          </w:p>
        </w:tc>
        <w:tc>
          <w:tcPr>
            <w:tcW w:w="4675" w:type="dxa"/>
          </w:tcPr>
          <w:p w14:paraId="176A2F80" w14:textId="4A739074" w:rsidR="00D609A0" w:rsidRPr="00F76AE1" w:rsidRDefault="0006307A" w:rsidP="001965BA">
            <w:pPr>
              <w:rPr>
                <w:b/>
                <w:bCs/>
              </w:rPr>
            </w:pPr>
            <w:r w:rsidRPr="00F76AE1">
              <w:rPr>
                <w:b/>
                <w:bCs/>
              </w:rPr>
              <w:t>Selection</w:t>
            </w:r>
            <w:r w:rsidR="00F76AE1">
              <w:rPr>
                <w:b/>
                <w:bCs/>
              </w:rPr>
              <w:t xml:space="preserve"> </w:t>
            </w:r>
            <w:r w:rsidR="00F76AE1" w:rsidRPr="00F76AE1">
              <w:rPr>
                <w:i/>
                <w:iCs/>
                <w:color w:val="BFBFBF" w:themeColor="background1" w:themeShade="BF"/>
                <w:sz w:val="18"/>
                <w:szCs w:val="18"/>
              </w:rPr>
              <w:t>(Yes OR No)</w:t>
            </w:r>
          </w:p>
        </w:tc>
      </w:tr>
      <w:tr w:rsidR="00C83920" w14:paraId="14512B09" w14:textId="77777777" w:rsidTr="00C83920">
        <w:tc>
          <w:tcPr>
            <w:tcW w:w="4675" w:type="dxa"/>
          </w:tcPr>
          <w:p w14:paraId="0A5072E8" w14:textId="31CD8806" w:rsidR="00C83920" w:rsidRDefault="00C83920" w:rsidP="00C83920">
            <w:r w:rsidRPr="00C83920">
              <w:t xml:space="preserve">Camp Coordination </w:t>
            </w:r>
            <w:r w:rsidR="00F76AE1">
              <w:t>a</w:t>
            </w:r>
            <w:r w:rsidRPr="00C83920">
              <w:t>nd Camp Management</w:t>
            </w:r>
          </w:p>
        </w:tc>
        <w:tc>
          <w:tcPr>
            <w:tcW w:w="4675" w:type="dxa"/>
          </w:tcPr>
          <w:p w14:paraId="4B54EE92" w14:textId="4E799B7D" w:rsidR="00C83920" w:rsidRDefault="00C83920" w:rsidP="001965BA"/>
        </w:tc>
      </w:tr>
      <w:tr w:rsidR="00C83920" w14:paraId="7E25882D" w14:textId="77777777" w:rsidTr="00C83920">
        <w:tc>
          <w:tcPr>
            <w:tcW w:w="4675" w:type="dxa"/>
          </w:tcPr>
          <w:p w14:paraId="08ECC380" w14:textId="4ECF8592" w:rsidR="00C83920" w:rsidRDefault="00D609A0" w:rsidP="00C83920">
            <w:r w:rsidRPr="00C83920">
              <w:t>Direct Health Support</w:t>
            </w:r>
          </w:p>
        </w:tc>
        <w:tc>
          <w:tcPr>
            <w:tcW w:w="4675" w:type="dxa"/>
          </w:tcPr>
          <w:p w14:paraId="7E14C70F" w14:textId="77777777" w:rsidR="00C83920" w:rsidRDefault="00C83920" w:rsidP="001965BA"/>
        </w:tc>
      </w:tr>
      <w:tr w:rsidR="00C83920" w14:paraId="2C99C5D3" w14:textId="77777777" w:rsidTr="00C83920">
        <w:tc>
          <w:tcPr>
            <w:tcW w:w="4675" w:type="dxa"/>
          </w:tcPr>
          <w:p w14:paraId="00E61EC3" w14:textId="53F42E61" w:rsidR="00C83920" w:rsidRDefault="00D609A0" w:rsidP="001965BA">
            <w:r w:rsidRPr="00980C50">
              <w:t>Protection</w:t>
            </w:r>
          </w:p>
        </w:tc>
        <w:tc>
          <w:tcPr>
            <w:tcW w:w="4675" w:type="dxa"/>
          </w:tcPr>
          <w:p w14:paraId="1736CE6C" w14:textId="77777777" w:rsidR="00C83920" w:rsidRDefault="00C83920" w:rsidP="001965BA"/>
        </w:tc>
      </w:tr>
      <w:tr w:rsidR="00C83920" w14:paraId="73E158DA" w14:textId="77777777" w:rsidTr="00C83920">
        <w:tc>
          <w:tcPr>
            <w:tcW w:w="4675" w:type="dxa"/>
          </w:tcPr>
          <w:p w14:paraId="224704A9" w14:textId="0E62A86C" w:rsidR="00C83920" w:rsidRDefault="00D609A0" w:rsidP="001965BA">
            <w:r w:rsidRPr="00CF4A19">
              <w:t xml:space="preserve">Water, Sanitation </w:t>
            </w:r>
            <w:r>
              <w:t>a</w:t>
            </w:r>
            <w:r w:rsidRPr="00CF4A19">
              <w:t xml:space="preserve">nd Hygiene </w:t>
            </w:r>
            <w:r>
              <w:t>i</w:t>
            </w:r>
            <w:r w:rsidRPr="00CF4A19">
              <w:t>n Emergencies</w:t>
            </w:r>
          </w:p>
        </w:tc>
        <w:tc>
          <w:tcPr>
            <w:tcW w:w="4675" w:type="dxa"/>
          </w:tcPr>
          <w:p w14:paraId="198A90CA" w14:textId="77777777" w:rsidR="00C83920" w:rsidRDefault="00C83920" w:rsidP="001965BA"/>
        </w:tc>
      </w:tr>
      <w:tr w:rsidR="00C83920" w14:paraId="77F9DB1F" w14:textId="77777777" w:rsidTr="00C83920">
        <w:tc>
          <w:tcPr>
            <w:tcW w:w="4675" w:type="dxa"/>
          </w:tcPr>
          <w:p w14:paraId="271AA5FC" w14:textId="1CD98236" w:rsidR="00C83920" w:rsidRDefault="00D609A0" w:rsidP="001965BA">
            <w:r w:rsidRPr="00CF4A19">
              <w:t xml:space="preserve">Shelter </w:t>
            </w:r>
            <w:r>
              <w:t>a</w:t>
            </w:r>
            <w:r w:rsidRPr="00CF4A19">
              <w:t>nd Settlements</w:t>
            </w:r>
            <w:r>
              <w:t xml:space="preserve"> and Emergency Response</w:t>
            </w:r>
          </w:p>
        </w:tc>
        <w:tc>
          <w:tcPr>
            <w:tcW w:w="4675" w:type="dxa"/>
          </w:tcPr>
          <w:p w14:paraId="445E7D4D" w14:textId="77777777" w:rsidR="00C83920" w:rsidRDefault="00C83920" w:rsidP="001965BA"/>
        </w:tc>
      </w:tr>
      <w:tr w:rsidR="00C83920" w14:paraId="5B737243" w14:textId="77777777" w:rsidTr="00C83920">
        <w:tc>
          <w:tcPr>
            <w:tcW w:w="4675" w:type="dxa"/>
          </w:tcPr>
          <w:p w14:paraId="47582088" w14:textId="468859B1" w:rsidR="00C83920" w:rsidRDefault="00D609A0" w:rsidP="00D609A0">
            <w:r w:rsidRPr="00CF4A19">
              <w:t xml:space="preserve">Basic Needs, Including Food </w:t>
            </w:r>
            <w:r w:rsidR="00F76AE1">
              <w:t>a</w:t>
            </w:r>
            <w:r w:rsidRPr="00CF4A19">
              <w:t>nd Multi-Purpose Cash Assistance</w:t>
            </w:r>
          </w:p>
        </w:tc>
        <w:tc>
          <w:tcPr>
            <w:tcW w:w="4675" w:type="dxa"/>
          </w:tcPr>
          <w:p w14:paraId="1AE4ED61" w14:textId="77777777" w:rsidR="00C83920" w:rsidRDefault="00C83920" w:rsidP="001965BA"/>
        </w:tc>
      </w:tr>
    </w:tbl>
    <w:p w14:paraId="29FB2817" w14:textId="77777777" w:rsidR="00C83920" w:rsidRDefault="00C83920" w:rsidP="001965BA"/>
    <w:p w14:paraId="132D067C" w14:textId="77777777" w:rsidR="00CF4A19" w:rsidRDefault="00CF4A19" w:rsidP="00CF4A19"/>
    <w:p w14:paraId="3FD6D87D" w14:textId="77777777" w:rsidR="00CF4A19" w:rsidRDefault="00CF4A19" w:rsidP="00CF4A19"/>
    <w:p w14:paraId="63AC715F" w14:textId="3B202496" w:rsidR="00CF4A19" w:rsidRDefault="00F76AE1" w:rsidP="00CF4A19">
      <w:r>
        <w:t xml:space="preserve">Organization </w:t>
      </w:r>
      <w:r w:rsidR="00A2522A">
        <w:t>Sign and Stamp</w:t>
      </w:r>
    </w:p>
    <w:p w14:paraId="5C0C6E16" w14:textId="77777777" w:rsidR="00CF4A19" w:rsidRDefault="00CF4A19" w:rsidP="00CF4A19"/>
    <w:p w14:paraId="0DFA3C20" w14:textId="0638C88B" w:rsidR="00CF4A19" w:rsidRDefault="00CF4A19" w:rsidP="00CF4A19"/>
    <w:sectPr w:rsidR="00CF4A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A4958" w14:textId="77777777" w:rsidR="00BD0241" w:rsidRDefault="00BD0241" w:rsidP="00BD0241">
      <w:pPr>
        <w:spacing w:after="0" w:line="240" w:lineRule="auto"/>
      </w:pPr>
      <w:r>
        <w:separator/>
      </w:r>
    </w:p>
  </w:endnote>
  <w:endnote w:type="continuationSeparator" w:id="0">
    <w:p w14:paraId="5520A051" w14:textId="77777777" w:rsidR="00BD0241" w:rsidRDefault="00BD0241" w:rsidP="00B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Nova">
    <w:charset w:val="00"/>
    <w:family w:val="swiss"/>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4CA3A" w14:textId="77777777" w:rsidR="00BD0241" w:rsidRDefault="00BD0241" w:rsidP="00BD0241">
      <w:pPr>
        <w:spacing w:after="0" w:line="240" w:lineRule="auto"/>
      </w:pPr>
      <w:r>
        <w:separator/>
      </w:r>
    </w:p>
  </w:footnote>
  <w:footnote w:type="continuationSeparator" w:id="0">
    <w:p w14:paraId="078E135B" w14:textId="77777777" w:rsidR="00BD0241" w:rsidRDefault="00BD0241" w:rsidP="00BD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3F0A" w14:textId="75DB9C3B" w:rsidR="00BD0241" w:rsidRDefault="00A42D0E" w:rsidP="00A42D0E">
    <w:pPr>
      <w:pStyle w:val="Header"/>
      <w:jc w:val="right"/>
    </w:pPr>
    <w:r>
      <w:rPr>
        <w:noProof/>
      </w:rPr>
      <w:drawing>
        <wp:anchor distT="0" distB="0" distL="114300" distR="114300" simplePos="0" relativeHeight="251658240" behindDoc="1" locked="0" layoutInCell="1" allowOverlap="1" wp14:anchorId="0F260763" wp14:editId="0BE4D117">
          <wp:simplePos x="0" y="0"/>
          <wp:positionH relativeFrom="column">
            <wp:posOffset>-190982</wp:posOffset>
          </wp:positionH>
          <wp:positionV relativeFrom="paragraph">
            <wp:posOffset>-208345</wp:posOffset>
          </wp:positionV>
          <wp:extent cx="1066667" cy="533333"/>
          <wp:effectExtent l="0" t="0" r="635" b="635"/>
          <wp:wrapTight wrapText="bothSides">
            <wp:wrapPolygon edited="0">
              <wp:start x="0" y="0"/>
              <wp:lineTo x="0" y="20853"/>
              <wp:lineTo x="21227" y="20853"/>
              <wp:lineTo x="21227" y="0"/>
              <wp:lineTo x="0" y="0"/>
            </wp:wrapPolygon>
          </wp:wrapTight>
          <wp:docPr id="149989725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9725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6667" cy="533333"/>
                  </a:xfrm>
                  <a:prstGeom prst="rect">
                    <a:avLst/>
                  </a:prstGeom>
                </pic:spPr>
              </pic:pic>
            </a:graphicData>
          </a:graphic>
        </wp:anchor>
      </w:drawing>
    </w:r>
    <w:r w:rsidRPr="00A42D0E">
      <w:rPr>
        <w:sz w:val="18"/>
        <w:szCs w:val="18"/>
      </w:rPr>
      <w:t>IPPQ-YE-2024-001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87BF4"/>
    <w:multiLevelType w:val="hybridMultilevel"/>
    <w:tmpl w:val="2A86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E5621"/>
    <w:multiLevelType w:val="hybridMultilevel"/>
    <w:tmpl w:val="8106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7926"/>
    <w:multiLevelType w:val="hybridMultilevel"/>
    <w:tmpl w:val="5CE648C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CD1CE1"/>
    <w:multiLevelType w:val="hybridMultilevel"/>
    <w:tmpl w:val="2DD2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600EA"/>
    <w:multiLevelType w:val="hybridMultilevel"/>
    <w:tmpl w:val="6242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E7186"/>
    <w:multiLevelType w:val="hybridMultilevel"/>
    <w:tmpl w:val="E18E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77579"/>
    <w:multiLevelType w:val="hybridMultilevel"/>
    <w:tmpl w:val="C61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6143E"/>
    <w:multiLevelType w:val="hybridMultilevel"/>
    <w:tmpl w:val="702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99489">
    <w:abstractNumId w:val="5"/>
  </w:num>
  <w:num w:numId="2" w16cid:durableId="1135489087">
    <w:abstractNumId w:val="4"/>
  </w:num>
  <w:num w:numId="3" w16cid:durableId="166680272">
    <w:abstractNumId w:val="2"/>
  </w:num>
  <w:num w:numId="4" w16cid:durableId="677662504">
    <w:abstractNumId w:val="7"/>
  </w:num>
  <w:num w:numId="5" w16cid:durableId="1641491974">
    <w:abstractNumId w:val="6"/>
  </w:num>
  <w:num w:numId="6" w16cid:durableId="1262100919">
    <w:abstractNumId w:val="1"/>
  </w:num>
  <w:num w:numId="7" w16cid:durableId="412092446">
    <w:abstractNumId w:val="0"/>
  </w:num>
  <w:num w:numId="8" w16cid:durableId="1470367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50"/>
    <w:rsid w:val="0006307A"/>
    <w:rsid w:val="00097DAE"/>
    <w:rsid w:val="001965BA"/>
    <w:rsid w:val="001C58FC"/>
    <w:rsid w:val="00375BD0"/>
    <w:rsid w:val="00536D63"/>
    <w:rsid w:val="005422B5"/>
    <w:rsid w:val="00611DAA"/>
    <w:rsid w:val="006570F4"/>
    <w:rsid w:val="00680A16"/>
    <w:rsid w:val="007958F0"/>
    <w:rsid w:val="007A49CC"/>
    <w:rsid w:val="00943A65"/>
    <w:rsid w:val="00980C50"/>
    <w:rsid w:val="009D74B2"/>
    <w:rsid w:val="00A2522A"/>
    <w:rsid w:val="00A42D0E"/>
    <w:rsid w:val="00AB0498"/>
    <w:rsid w:val="00B1561C"/>
    <w:rsid w:val="00BD0241"/>
    <w:rsid w:val="00C83920"/>
    <w:rsid w:val="00CF4A19"/>
    <w:rsid w:val="00D609A0"/>
    <w:rsid w:val="00D81AC0"/>
    <w:rsid w:val="00E156D1"/>
    <w:rsid w:val="00E20C04"/>
    <w:rsid w:val="00E53852"/>
    <w:rsid w:val="00F76AE1"/>
    <w:rsid w:val="00FB0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EAEBB"/>
  <w15:chartTrackingRefBased/>
  <w15:docId w15:val="{9B13A057-3D7F-4311-AEA8-997E0204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A0"/>
  </w:style>
  <w:style w:type="paragraph" w:styleId="Heading1">
    <w:name w:val="heading 1"/>
    <w:basedOn w:val="Normal"/>
    <w:next w:val="Normal"/>
    <w:link w:val="Heading1Char"/>
    <w:uiPriority w:val="9"/>
    <w:qFormat/>
    <w:rsid w:val="00980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C50"/>
    <w:rPr>
      <w:rFonts w:eastAsiaTheme="majorEastAsia" w:cstheme="majorBidi"/>
      <w:color w:val="272727" w:themeColor="text1" w:themeTint="D8"/>
    </w:rPr>
  </w:style>
  <w:style w:type="paragraph" w:styleId="Title">
    <w:name w:val="Title"/>
    <w:basedOn w:val="Normal"/>
    <w:next w:val="Normal"/>
    <w:link w:val="TitleChar"/>
    <w:uiPriority w:val="10"/>
    <w:qFormat/>
    <w:rsid w:val="00980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C50"/>
    <w:pPr>
      <w:spacing w:before="160"/>
      <w:jc w:val="center"/>
    </w:pPr>
    <w:rPr>
      <w:i/>
      <w:iCs/>
      <w:color w:val="404040" w:themeColor="text1" w:themeTint="BF"/>
    </w:rPr>
  </w:style>
  <w:style w:type="character" w:customStyle="1" w:styleId="QuoteChar">
    <w:name w:val="Quote Char"/>
    <w:basedOn w:val="DefaultParagraphFont"/>
    <w:link w:val="Quote"/>
    <w:uiPriority w:val="29"/>
    <w:rsid w:val="00980C50"/>
    <w:rPr>
      <w:i/>
      <w:iCs/>
      <w:color w:val="404040" w:themeColor="text1" w:themeTint="BF"/>
    </w:rPr>
  </w:style>
  <w:style w:type="paragraph" w:styleId="ListParagraph">
    <w:name w:val="List Paragraph"/>
    <w:basedOn w:val="Normal"/>
    <w:uiPriority w:val="34"/>
    <w:qFormat/>
    <w:rsid w:val="00980C50"/>
    <w:pPr>
      <w:ind w:left="720"/>
      <w:contextualSpacing/>
    </w:pPr>
  </w:style>
  <w:style w:type="character" w:styleId="IntenseEmphasis">
    <w:name w:val="Intense Emphasis"/>
    <w:basedOn w:val="DefaultParagraphFont"/>
    <w:uiPriority w:val="21"/>
    <w:qFormat/>
    <w:rsid w:val="00980C50"/>
    <w:rPr>
      <w:i/>
      <w:iCs/>
      <w:color w:val="0F4761" w:themeColor="accent1" w:themeShade="BF"/>
    </w:rPr>
  </w:style>
  <w:style w:type="paragraph" w:styleId="IntenseQuote">
    <w:name w:val="Intense Quote"/>
    <w:basedOn w:val="Normal"/>
    <w:next w:val="Normal"/>
    <w:link w:val="IntenseQuoteChar"/>
    <w:uiPriority w:val="30"/>
    <w:qFormat/>
    <w:rsid w:val="00980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C50"/>
    <w:rPr>
      <w:i/>
      <w:iCs/>
      <w:color w:val="0F4761" w:themeColor="accent1" w:themeShade="BF"/>
    </w:rPr>
  </w:style>
  <w:style w:type="character" w:styleId="IntenseReference">
    <w:name w:val="Intense Reference"/>
    <w:basedOn w:val="DefaultParagraphFont"/>
    <w:uiPriority w:val="32"/>
    <w:qFormat/>
    <w:rsid w:val="00980C50"/>
    <w:rPr>
      <w:b/>
      <w:bCs/>
      <w:smallCaps/>
      <w:color w:val="0F4761" w:themeColor="accent1" w:themeShade="BF"/>
      <w:spacing w:val="5"/>
    </w:rPr>
  </w:style>
  <w:style w:type="paragraph" w:styleId="Header">
    <w:name w:val="header"/>
    <w:basedOn w:val="Normal"/>
    <w:link w:val="HeaderChar"/>
    <w:uiPriority w:val="99"/>
    <w:unhideWhenUsed/>
    <w:rsid w:val="00BD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241"/>
  </w:style>
  <w:style w:type="paragraph" w:styleId="Footer">
    <w:name w:val="footer"/>
    <w:basedOn w:val="Normal"/>
    <w:link w:val="FooterChar"/>
    <w:uiPriority w:val="99"/>
    <w:unhideWhenUsed/>
    <w:rsid w:val="00BD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241"/>
  </w:style>
  <w:style w:type="table" w:styleId="TableGrid">
    <w:name w:val="Table Grid"/>
    <w:basedOn w:val="TableNormal"/>
    <w:uiPriority w:val="39"/>
    <w:rsid w:val="00C8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1210</Words>
  <Characters>7975</Characters>
  <Application>Microsoft Office Word</Application>
  <DocSecurity>0</DocSecurity>
  <Lines>153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SHUAIB Aseel</dc:creator>
  <cp:keywords/>
  <dc:description/>
  <cp:lastModifiedBy>BIN SHUAIB Aseel</cp:lastModifiedBy>
  <cp:revision>19</cp:revision>
  <dcterms:created xsi:type="dcterms:W3CDTF">2024-12-04T15:05:00Z</dcterms:created>
  <dcterms:modified xsi:type="dcterms:W3CDTF">2024-12-05T09:41:00Z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376871ca-c77f-4e17-a68f-5bc54bfb44bd</vt:lpwstr>
  </property>
  <property fmtid="{D5CDD505-2E9C-101B-9397-08002B2CF9AE}" pid="3" name="MSIP_Label_2059aa38-f392-4105-be92-628035578272_Enabled">
    <vt:lpwstr>true</vt:lpwstr>
  </property>
  <property fmtid="{D5CDD505-2E9C-101B-9397-08002B2CF9AE}" pid="4" name="MSIP_Label_2059aa38-f392-4105-be92-628035578272_SetDate">
    <vt:lpwstr>2024-12-04T15:24:26Z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6204858a-0801-40a2-8575-13aefaaccf95</vt:lpwstr>
  </property>
  <property fmtid="{D5CDD505-2E9C-101B-9397-08002B2CF9AE}" pid="9" name="MSIP_Label_2059aa38-f392-4105-be92-628035578272_ContentBits">
    <vt:lpwstr>0</vt:lpwstr>
  </property>
</Properties>
</file>