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AD8E" w14:textId="5DF82CAC" w:rsidR="005B0303" w:rsidRPr="0073536B" w:rsidRDefault="0073536B" w:rsidP="005B0303">
      <w:pPr>
        <w:pStyle w:val="Heading2"/>
        <w:shd w:val="clear" w:color="auto" w:fill="D9D9D9"/>
        <w:jc w:val="center"/>
        <w:rPr>
          <w:rFonts w:ascii="Calibri" w:hAnsi="Calibri" w:cs="Calibri"/>
          <w:color w:val="000000" w:themeColor="text1"/>
          <w:sz w:val="24"/>
          <w:szCs w:val="24"/>
          <w:u w:val="none"/>
        </w:rPr>
      </w:pPr>
      <w:r>
        <w:rPr>
          <w:rFonts w:ascii="Calibri" w:hAnsi="Calibri" w:cs="Calibri"/>
          <w:color w:val="000000" w:themeColor="text1"/>
          <w:sz w:val="24"/>
          <w:szCs w:val="24"/>
          <w:u w:val="none"/>
        </w:rPr>
        <w:t>Annex</w:t>
      </w:r>
      <w:r>
        <w:rPr>
          <w:rFonts w:ascii="Calibri" w:hAnsi="Calibri" w:cs="Calibri"/>
          <w:color w:val="000000" w:themeColor="text1"/>
          <w:sz w:val="24"/>
          <w:szCs w:val="24"/>
          <w:u w:val="none"/>
          <w:lang w:val="en-US"/>
        </w:rPr>
        <w:t xml:space="preserve"> </w:t>
      </w:r>
      <w:r w:rsidR="00AB2E9B">
        <w:rPr>
          <w:rFonts w:ascii="Calibri" w:hAnsi="Calibri" w:cs="Calibri"/>
          <w:color w:val="000000" w:themeColor="text1"/>
          <w:sz w:val="24"/>
          <w:szCs w:val="24"/>
          <w:u w:val="none"/>
          <w:lang w:val="en-US"/>
        </w:rPr>
        <w:t>F</w:t>
      </w:r>
      <w:r>
        <w:rPr>
          <w:rFonts w:ascii="Calibri" w:hAnsi="Calibri" w:cs="Calibri"/>
          <w:color w:val="000000" w:themeColor="text1"/>
          <w:sz w:val="24"/>
          <w:szCs w:val="24"/>
          <w:u w:val="none"/>
          <w:lang w:val="en-US"/>
        </w:rPr>
        <w:t>:</w:t>
      </w:r>
      <w:r>
        <w:rPr>
          <w:rFonts w:ascii="Calibri" w:hAnsi="Calibri" w:cs="Calibri"/>
          <w:color w:val="000000" w:themeColor="text1"/>
          <w:sz w:val="24"/>
          <w:szCs w:val="24"/>
          <w:u w:val="none"/>
        </w:rPr>
        <w:t xml:space="preserve"> </w:t>
      </w:r>
      <w:r w:rsidR="005B0303" w:rsidRPr="0073536B">
        <w:rPr>
          <w:rFonts w:ascii="Calibri" w:hAnsi="Calibri" w:cs="Calibri"/>
          <w:color w:val="000000" w:themeColor="text1"/>
          <w:sz w:val="24"/>
          <w:szCs w:val="24"/>
          <w:u w:val="none"/>
        </w:rPr>
        <w:t xml:space="preserve">BIDDER’S ETHICAL DECLARATION </w:t>
      </w:r>
    </w:p>
    <w:p w14:paraId="5F7447F4" w14:textId="09C1BC1C" w:rsidR="005B0303" w:rsidRPr="0073536B" w:rsidRDefault="0073536B" w:rsidP="0073536B">
      <w:pPr>
        <w:pStyle w:val="Heading2"/>
        <w:shd w:val="clear" w:color="auto" w:fill="D9D9D9"/>
        <w:bidi/>
        <w:jc w:val="center"/>
        <w:rPr>
          <w:rFonts w:ascii="Calibri" w:hAnsi="Calibri" w:cs="Calibri"/>
          <w:color w:val="000000" w:themeColor="text1"/>
          <w:sz w:val="24"/>
          <w:szCs w:val="24"/>
          <w:u w:val="none"/>
          <w:rtl/>
          <w:lang w:val="en-US" w:bidi="ar-YE"/>
        </w:rPr>
      </w:pPr>
      <w:r>
        <w:rPr>
          <w:rFonts w:ascii="Calibri" w:hAnsi="Calibri" w:cs="Calibri" w:hint="cs"/>
          <w:color w:val="000000" w:themeColor="text1"/>
          <w:sz w:val="24"/>
          <w:szCs w:val="24"/>
          <w:u w:val="none"/>
          <w:rtl/>
          <w:lang w:val="en-US" w:bidi="ar-YE"/>
        </w:rPr>
        <w:t>الملحق</w:t>
      </w:r>
      <w:r w:rsidRPr="0073536B">
        <w:rPr>
          <w:rFonts w:ascii="Calibri" w:hAnsi="Calibri" w:cs="Calibri"/>
          <w:color w:val="000000" w:themeColor="text1"/>
          <w:sz w:val="24"/>
          <w:szCs w:val="24"/>
          <w:u w:val="none"/>
          <w:rtl/>
        </w:rPr>
        <w:t xml:space="preserve"> </w:t>
      </w:r>
      <w:r w:rsidR="00AB2E9B">
        <w:rPr>
          <w:rFonts w:ascii="Calibri" w:hAnsi="Calibri" w:cs="Calibri" w:hint="cs"/>
          <w:color w:val="000000" w:themeColor="text1"/>
          <w:sz w:val="24"/>
          <w:szCs w:val="24"/>
          <w:u w:val="none"/>
          <w:rtl/>
          <w:lang w:bidi="ar-YE"/>
        </w:rPr>
        <w:t>و</w:t>
      </w:r>
      <w:r>
        <w:rPr>
          <w:rFonts w:ascii="Calibri" w:hAnsi="Calibri" w:cs="Calibri" w:hint="cs"/>
          <w:color w:val="000000" w:themeColor="text1"/>
          <w:sz w:val="24"/>
          <w:szCs w:val="24"/>
          <w:u w:val="none"/>
          <w:rtl/>
          <w:lang w:bidi="ar-YE"/>
        </w:rPr>
        <w:t xml:space="preserve">: </w:t>
      </w:r>
      <w:r w:rsidR="005B0303" w:rsidRPr="0073536B">
        <w:rPr>
          <w:rFonts w:ascii="Calibri" w:hAnsi="Calibri" w:cs="Calibri"/>
          <w:color w:val="000000" w:themeColor="text1"/>
          <w:sz w:val="24"/>
          <w:szCs w:val="24"/>
          <w:u w:val="none"/>
          <w:rtl/>
        </w:rPr>
        <w:t>التعهد الأخلاقي للمتقدم للمناقص</w:t>
      </w:r>
      <w:r w:rsidR="00424615" w:rsidRPr="0073536B">
        <w:rPr>
          <w:rFonts w:ascii="Calibri" w:hAnsi="Calibri" w:cs="Calibri"/>
          <w:color w:val="000000" w:themeColor="text1"/>
          <w:sz w:val="24"/>
          <w:szCs w:val="24"/>
          <w:u w:val="none"/>
          <w:rtl/>
        </w:rPr>
        <w:t>ة</w:t>
      </w:r>
      <w:r w:rsidR="005B0303" w:rsidRPr="0073536B">
        <w:rPr>
          <w:rFonts w:ascii="Calibri" w:hAnsi="Calibri" w:cs="Calibri"/>
          <w:color w:val="000000" w:themeColor="text1"/>
          <w:sz w:val="24"/>
          <w:szCs w:val="24"/>
          <w:u w:val="none"/>
          <w:rtl/>
        </w:rPr>
        <w:t xml:space="preserve"> </w:t>
      </w:r>
    </w:p>
    <w:p w14:paraId="0AF952EE" w14:textId="4FC13E19" w:rsidR="005B0303" w:rsidRPr="00C56838" w:rsidRDefault="005B0303" w:rsidP="005B0303">
      <w:pPr>
        <w:jc w:val="both"/>
        <w:rPr>
          <w:rFonts w:ascii="Arial Narrow" w:hAnsi="Arial Narrow" w:cs="Arial"/>
          <w:bCs/>
          <w:sz w:val="12"/>
          <w:szCs w:val="8"/>
          <w:lang w:val="fr-FR"/>
        </w:rPr>
      </w:pPr>
    </w:p>
    <w:tbl>
      <w:tblPr>
        <w:tblStyle w:val="TableGrid"/>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1701"/>
        <w:gridCol w:w="2835"/>
        <w:gridCol w:w="2127"/>
        <w:gridCol w:w="2126"/>
      </w:tblGrid>
      <w:tr w:rsidR="00424615" w:rsidRPr="001664F9" w14:paraId="635175C8" w14:textId="77777777" w:rsidTr="00B21CA0">
        <w:trPr>
          <w:trHeight w:val="283"/>
        </w:trPr>
        <w:tc>
          <w:tcPr>
            <w:tcW w:w="1696" w:type="dxa"/>
          </w:tcPr>
          <w:p w14:paraId="1503997E"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Date:</w:t>
            </w:r>
          </w:p>
        </w:tc>
        <w:tc>
          <w:tcPr>
            <w:tcW w:w="1701" w:type="dxa"/>
          </w:tcPr>
          <w:p w14:paraId="46243A49" w14:textId="77777777" w:rsidR="00424615" w:rsidRPr="001664F9" w:rsidRDefault="00424615" w:rsidP="00B21CA0">
            <w:pPr>
              <w:jc w:val="both"/>
              <w:rPr>
                <w:rFonts w:asciiTheme="minorHAnsi" w:hAnsiTheme="minorHAnsi" w:cstheme="minorHAnsi"/>
                <w:b/>
                <w:bCs/>
                <w:sz w:val="22"/>
                <w:szCs w:val="22"/>
                <w:u w:val="single"/>
              </w:rPr>
            </w:pPr>
          </w:p>
        </w:tc>
        <w:tc>
          <w:tcPr>
            <w:tcW w:w="2835" w:type="dxa"/>
          </w:tcPr>
          <w:p w14:paraId="76DCCF3E" w14:textId="77777777" w:rsidR="00424615" w:rsidRPr="001664F9" w:rsidRDefault="00424615" w:rsidP="00B21CA0">
            <w:pPr>
              <w:jc w:val="both"/>
              <w:rPr>
                <w:rFonts w:asciiTheme="minorHAnsi" w:hAnsiTheme="minorHAnsi" w:cstheme="minorHAnsi"/>
                <w:b/>
                <w:bCs/>
                <w:sz w:val="22"/>
                <w:szCs w:val="22"/>
                <w:u w:val="single"/>
              </w:rPr>
            </w:pPr>
          </w:p>
        </w:tc>
        <w:tc>
          <w:tcPr>
            <w:tcW w:w="2127" w:type="dxa"/>
          </w:tcPr>
          <w:p w14:paraId="10077DBB" w14:textId="77777777" w:rsidR="00424615" w:rsidRPr="001664F9" w:rsidRDefault="00424615" w:rsidP="00B21CA0">
            <w:pPr>
              <w:bidi/>
              <w:jc w:val="both"/>
              <w:rPr>
                <w:rFonts w:asciiTheme="minorHAnsi" w:hAnsiTheme="minorHAnsi" w:cstheme="minorHAnsi"/>
                <w:b/>
                <w:bCs/>
                <w:sz w:val="22"/>
                <w:szCs w:val="22"/>
                <w:u w:val="single"/>
              </w:rPr>
            </w:pPr>
          </w:p>
        </w:tc>
        <w:tc>
          <w:tcPr>
            <w:tcW w:w="2126" w:type="dxa"/>
          </w:tcPr>
          <w:p w14:paraId="0A6F1A52" w14:textId="77777777" w:rsidR="00424615" w:rsidRPr="001664F9" w:rsidRDefault="00424615" w:rsidP="00B21CA0">
            <w:pPr>
              <w:bidi/>
              <w:jc w:val="both"/>
              <w:rPr>
                <w:rFonts w:asciiTheme="minorHAnsi" w:hAnsiTheme="minorHAnsi" w:cstheme="minorHAnsi"/>
                <w:b/>
                <w:bCs/>
                <w:sz w:val="22"/>
                <w:szCs w:val="22"/>
              </w:rPr>
            </w:pPr>
            <w:r w:rsidRPr="001664F9">
              <w:rPr>
                <w:rFonts w:asciiTheme="minorHAnsi" w:hAnsiTheme="minorHAnsi" w:cstheme="minorHAnsi"/>
                <w:b/>
                <w:bCs/>
                <w:sz w:val="22"/>
                <w:szCs w:val="22"/>
                <w:rtl/>
              </w:rPr>
              <w:t>التاريخ</w:t>
            </w:r>
            <w:r w:rsidRPr="001664F9">
              <w:rPr>
                <w:rFonts w:asciiTheme="minorHAnsi" w:hAnsiTheme="minorHAnsi" w:cstheme="minorHAnsi"/>
                <w:b/>
                <w:bCs/>
                <w:sz w:val="22"/>
                <w:szCs w:val="22"/>
              </w:rPr>
              <w:t>:</w:t>
            </w:r>
          </w:p>
        </w:tc>
      </w:tr>
      <w:tr w:rsidR="00424615" w:rsidRPr="001664F9" w14:paraId="24BDB251" w14:textId="77777777" w:rsidTr="00B21CA0">
        <w:tc>
          <w:tcPr>
            <w:tcW w:w="3397" w:type="dxa"/>
            <w:gridSpan w:val="2"/>
          </w:tcPr>
          <w:p w14:paraId="47206A20"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Tender Number :</w:t>
            </w:r>
            <w:r w:rsidRPr="001664F9">
              <w:rPr>
                <w:rFonts w:asciiTheme="minorHAnsi" w:hAnsiTheme="minorHAnsi" w:cstheme="minorHAnsi"/>
                <w:b/>
                <w:bCs/>
                <w:sz w:val="22"/>
                <w:szCs w:val="22"/>
                <w:lang w:bidi="ar-YE"/>
              </w:rPr>
              <w:tab/>
            </w:r>
          </w:p>
        </w:tc>
        <w:tc>
          <w:tcPr>
            <w:tcW w:w="2835" w:type="dxa"/>
          </w:tcPr>
          <w:p w14:paraId="419419C1" w14:textId="47056FF2" w:rsidR="00424615" w:rsidRPr="001664F9" w:rsidRDefault="0073536B" w:rsidP="00B21CA0">
            <w:pPr>
              <w:jc w:val="center"/>
              <w:rPr>
                <w:rFonts w:asciiTheme="minorHAnsi" w:hAnsiTheme="minorHAnsi" w:cstheme="minorHAnsi"/>
                <w:b/>
                <w:bCs/>
                <w:sz w:val="22"/>
                <w:szCs w:val="22"/>
                <w:lang w:bidi="ar-YE"/>
              </w:rPr>
            </w:pPr>
            <w:r w:rsidRPr="0073536B">
              <w:rPr>
                <w:rFonts w:ascii="Calibri" w:hAnsi="Calibri" w:cs="Calibri"/>
                <w:color w:val="0033CC"/>
              </w:rPr>
              <w:t>ADRA-YMA-00</w:t>
            </w:r>
            <w:r w:rsidR="00980B86">
              <w:rPr>
                <w:rFonts w:ascii="Calibri" w:hAnsi="Calibri" w:cs="Calibri"/>
                <w:color w:val="0033CC"/>
              </w:rPr>
              <w:t>94</w:t>
            </w:r>
            <w:r w:rsidRPr="0073536B">
              <w:rPr>
                <w:rFonts w:ascii="Calibri" w:hAnsi="Calibri" w:cs="Calibri"/>
                <w:color w:val="0033CC"/>
              </w:rPr>
              <w:t>-2021-0</w:t>
            </w:r>
            <w:r w:rsidR="00B33C4A">
              <w:rPr>
                <w:rFonts w:ascii="Calibri" w:hAnsi="Calibri" w:cs="Calibri"/>
                <w:color w:val="0033CC"/>
              </w:rPr>
              <w:t>1</w:t>
            </w:r>
          </w:p>
        </w:tc>
        <w:tc>
          <w:tcPr>
            <w:tcW w:w="4253" w:type="dxa"/>
            <w:gridSpan w:val="2"/>
          </w:tcPr>
          <w:p w14:paraId="69ACC991" w14:textId="77777777" w:rsidR="00424615" w:rsidRPr="001664F9" w:rsidRDefault="00424615" w:rsidP="00B21CA0">
            <w:pPr>
              <w:bidi/>
              <w:jc w:val="both"/>
              <w:rPr>
                <w:rFonts w:asciiTheme="minorHAnsi" w:hAnsiTheme="minorHAnsi" w:cstheme="minorHAnsi"/>
                <w:b/>
                <w:bCs/>
                <w:sz w:val="22"/>
                <w:szCs w:val="22"/>
                <w:rtl/>
                <w:lang w:bidi="ar-YE"/>
              </w:rPr>
            </w:pPr>
            <w:r w:rsidRPr="001664F9">
              <w:rPr>
                <w:rFonts w:asciiTheme="minorHAnsi" w:hAnsiTheme="minorHAnsi" w:cstheme="minorHAnsi" w:hint="cs"/>
                <w:b/>
                <w:bCs/>
                <w:sz w:val="22"/>
                <w:szCs w:val="22"/>
                <w:rtl/>
                <w:lang w:bidi="ar-YE"/>
              </w:rPr>
              <w:t>رقم المناقصة:</w:t>
            </w:r>
          </w:p>
        </w:tc>
      </w:tr>
    </w:tbl>
    <w:p w14:paraId="232FB65C" w14:textId="77777777" w:rsidR="00424615" w:rsidRPr="00C56838" w:rsidRDefault="00424615" w:rsidP="007E0BD7">
      <w:pPr>
        <w:rPr>
          <w:rFonts w:ascii="Arial Narrow" w:hAnsi="Arial Narrow" w:cs="Arial"/>
          <w:sz w:val="14"/>
          <w:szCs w:val="14"/>
          <w:u w:val="single"/>
          <w:rtl/>
          <w:lang w:val="fr-FR"/>
        </w:rPr>
      </w:pPr>
    </w:p>
    <w:tbl>
      <w:tblPr>
        <w:tblStyle w:val="TableGrid"/>
        <w:tblW w:w="0" w:type="auto"/>
        <w:tblLook w:val="04A0" w:firstRow="1" w:lastRow="0" w:firstColumn="1" w:lastColumn="0" w:noHBand="0" w:noVBand="1"/>
      </w:tblPr>
      <w:tblGrid>
        <w:gridCol w:w="2547"/>
        <w:gridCol w:w="5528"/>
        <w:gridCol w:w="2382"/>
      </w:tblGrid>
      <w:tr w:rsidR="00424615" w14:paraId="713B4A0B" w14:textId="77777777" w:rsidTr="00424615">
        <w:trPr>
          <w:trHeight w:val="283"/>
        </w:trPr>
        <w:tc>
          <w:tcPr>
            <w:tcW w:w="2547" w:type="dxa"/>
          </w:tcPr>
          <w:p w14:paraId="19326817" w14:textId="78C5170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bidi="ar-YE"/>
              </w:rPr>
              <w:t>Bidder’s</w:t>
            </w:r>
            <w:r w:rsidRPr="00424615">
              <w:rPr>
                <w:rFonts w:asciiTheme="minorHAnsi" w:hAnsiTheme="minorHAnsi" w:cstheme="minorHAnsi"/>
                <w:b/>
                <w:lang w:val="en-GB"/>
              </w:rPr>
              <w:t xml:space="preserve"> name:</w:t>
            </w:r>
          </w:p>
        </w:tc>
        <w:tc>
          <w:tcPr>
            <w:tcW w:w="5528" w:type="dxa"/>
          </w:tcPr>
          <w:p w14:paraId="3DD00270" w14:textId="3FCE0385" w:rsidR="00424615" w:rsidRPr="0073536B" w:rsidRDefault="001C7D90" w:rsidP="0073536B">
            <w:pPr>
              <w:jc w:val="center"/>
              <w:rPr>
                <w:rFonts w:asciiTheme="minorHAnsi" w:hAnsiTheme="minorHAnsi" w:cstheme="minorHAnsi"/>
                <w:b/>
              </w:rPr>
            </w:pPr>
            <w:r>
              <w:rPr>
                <w:rFonts w:ascii="Calibri" w:hAnsi="Calibri" w:cs="Calibri"/>
                <w:color w:val="0033CC"/>
                <w:szCs w:val="22"/>
              </w:rPr>
              <w:t>Supporting with Medical</w:t>
            </w:r>
            <w:r w:rsidR="00832544">
              <w:rPr>
                <w:rFonts w:ascii="Calibri" w:hAnsi="Calibri" w:cs="Calibri"/>
                <w:color w:val="0033CC"/>
                <w:szCs w:val="22"/>
              </w:rPr>
              <w:t xml:space="preserve"> and Lab </w:t>
            </w:r>
            <w:r>
              <w:rPr>
                <w:rFonts w:ascii="Calibri" w:hAnsi="Calibri" w:cs="Calibri"/>
                <w:color w:val="0033CC"/>
                <w:szCs w:val="22"/>
              </w:rPr>
              <w:t xml:space="preserve"> Supplies</w:t>
            </w:r>
            <w:r w:rsidRPr="001C7D90">
              <w:rPr>
                <w:rFonts w:ascii="Calibri" w:hAnsi="Calibri" w:cs="Calibri"/>
                <w:color w:val="0033CC"/>
                <w:szCs w:val="22"/>
              </w:rPr>
              <w:t xml:space="preserve"> </w:t>
            </w:r>
            <w:r w:rsidR="00AA0A15">
              <w:rPr>
                <w:rFonts w:ascii="Calibri" w:hAnsi="Calibri" w:cs="Calibri"/>
                <w:color w:val="0033CC"/>
                <w:szCs w:val="22"/>
              </w:rPr>
              <w:t xml:space="preserve">and PPEs </w:t>
            </w:r>
          </w:p>
        </w:tc>
        <w:tc>
          <w:tcPr>
            <w:tcW w:w="2382" w:type="dxa"/>
          </w:tcPr>
          <w:p w14:paraId="6FFA527C" w14:textId="144375AB"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اسم المتقدم للمناقصة</w:t>
            </w:r>
            <w:r>
              <w:rPr>
                <w:rFonts w:asciiTheme="minorHAnsi" w:hAnsiTheme="minorHAnsi" w:cstheme="minorHAnsi"/>
                <w:bCs/>
                <w:lang w:val="en-GB"/>
              </w:rPr>
              <w:t>:</w:t>
            </w:r>
          </w:p>
        </w:tc>
      </w:tr>
      <w:tr w:rsidR="00424615" w14:paraId="79E9F37B" w14:textId="77777777" w:rsidTr="00424615">
        <w:trPr>
          <w:trHeight w:val="283"/>
        </w:trPr>
        <w:tc>
          <w:tcPr>
            <w:tcW w:w="2547" w:type="dxa"/>
          </w:tcPr>
          <w:p w14:paraId="2EE0742A" w14:textId="754AD28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val="en-GB"/>
              </w:rPr>
              <w:t>Bidder’s address:</w:t>
            </w:r>
          </w:p>
        </w:tc>
        <w:tc>
          <w:tcPr>
            <w:tcW w:w="5528" w:type="dxa"/>
          </w:tcPr>
          <w:p w14:paraId="73D528F3" w14:textId="77777777" w:rsidR="00424615" w:rsidRPr="00AB2E9B" w:rsidRDefault="00424615" w:rsidP="005B0303">
            <w:pPr>
              <w:rPr>
                <w:rFonts w:asciiTheme="minorHAnsi" w:hAnsiTheme="minorHAnsi" w:cstheme="minorHAnsi"/>
                <w:b/>
              </w:rPr>
            </w:pPr>
          </w:p>
        </w:tc>
        <w:tc>
          <w:tcPr>
            <w:tcW w:w="2382" w:type="dxa"/>
          </w:tcPr>
          <w:p w14:paraId="5390ED3C" w14:textId="63C919FF"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عنوان المتقدم للمناقصة</w:t>
            </w:r>
            <w:r w:rsidRPr="00424615">
              <w:rPr>
                <w:rFonts w:asciiTheme="minorHAnsi" w:hAnsiTheme="minorHAnsi" w:cstheme="minorHAnsi"/>
                <w:bCs/>
                <w:lang w:val="en-GB"/>
              </w:rPr>
              <w:t>:</w:t>
            </w:r>
          </w:p>
        </w:tc>
      </w:tr>
    </w:tbl>
    <w:p w14:paraId="391B64FF" w14:textId="57B505C6" w:rsidR="00424615" w:rsidRPr="00C56838" w:rsidRDefault="00424615" w:rsidP="002F6C9C">
      <w:pPr>
        <w:tabs>
          <w:tab w:val="left" w:pos="3528"/>
        </w:tabs>
        <w:rPr>
          <w:rFonts w:ascii="Arial Narrow" w:hAnsi="Arial Narrow" w:cs="Arial"/>
          <w:bCs/>
          <w:sz w:val="16"/>
          <w:szCs w:val="14"/>
          <w:lang w:val="en-GB"/>
        </w:rPr>
      </w:pPr>
    </w:p>
    <w:tbl>
      <w:tblPr>
        <w:tblStyle w:val="TableGrid"/>
        <w:tblW w:w="0" w:type="auto"/>
        <w:tblLook w:val="04A0" w:firstRow="1" w:lastRow="0" w:firstColumn="1" w:lastColumn="0" w:noHBand="0" w:noVBand="1"/>
      </w:tblPr>
      <w:tblGrid>
        <w:gridCol w:w="5240"/>
        <w:gridCol w:w="425"/>
        <w:gridCol w:w="4792"/>
      </w:tblGrid>
      <w:tr w:rsidR="00424615" w14:paraId="6D9E69FE" w14:textId="77777777" w:rsidTr="00C56838">
        <w:tc>
          <w:tcPr>
            <w:tcW w:w="5240" w:type="dxa"/>
            <w:shd w:val="clear" w:color="auto" w:fill="008080"/>
          </w:tcPr>
          <w:p w14:paraId="12C54096" w14:textId="0DD5DAD7" w:rsidR="00424615" w:rsidRPr="00424615" w:rsidRDefault="00424615" w:rsidP="002F6C9C">
            <w:pPr>
              <w:tabs>
                <w:tab w:val="left" w:pos="3528"/>
              </w:tabs>
              <w:rPr>
                <w:rFonts w:asciiTheme="minorHAnsi" w:hAnsiTheme="minorHAnsi" w:cstheme="minorHAnsi"/>
                <w:b/>
                <w:color w:val="FFFFFF" w:themeColor="background1"/>
                <w:lang w:bidi="ar-YE"/>
              </w:rPr>
            </w:pPr>
            <w:r w:rsidRPr="00424615">
              <w:rPr>
                <w:rFonts w:asciiTheme="minorHAnsi" w:hAnsiTheme="minorHAnsi" w:cstheme="minorHAnsi"/>
                <w:b/>
                <w:color w:val="FFFFFF" w:themeColor="background1"/>
                <w:lang w:bidi="ar-YE"/>
              </w:rPr>
              <w:t>Code Of Conduct</w:t>
            </w:r>
          </w:p>
        </w:tc>
        <w:tc>
          <w:tcPr>
            <w:tcW w:w="425" w:type="dxa"/>
            <w:shd w:val="clear" w:color="auto" w:fill="008080"/>
          </w:tcPr>
          <w:p w14:paraId="344B6786" w14:textId="77777777" w:rsidR="00424615" w:rsidRPr="00424615" w:rsidRDefault="00424615" w:rsidP="002F6C9C">
            <w:pPr>
              <w:tabs>
                <w:tab w:val="left" w:pos="3528"/>
              </w:tabs>
              <w:rPr>
                <w:rFonts w:asciiTheme="minorHAnsi" w:hAnsiTheme="minorHAnsi" w:cstheme="minorHAnsi"/>
                <w:b/>
                <w:color w:val="FFFFFF" w:themeColor="background1"/>
                <w:lang w:val="en-GB"/>
              </w:rPr>
            </w:pPr>
          </w:p>
        </w:tc>
        <w:tc>
          <w:tcPr>
            <w:tcW w:w="4792" w:type="dxa"/>
            <w:shd w:val="clear" w:color="auto" w:fill="008080"/>
          </w:tcPr>
          <w:p w14:paraId="4BCF5FE3" w14:textId="7B8D24E2" w:rsidR="00424615" w:rsidRPr="00424615" w:rsidRDefault="00424615" w:rsidP="00C56838">
            <w:pPr>
              <w:bidi/>
              <w:jc w:val="both"/>
              <w:rPr>
                <w:rFonts w:asciiTheme="minorHAnsi" w:hAnsiTheme="minorHAnsi" w:cstheme="minorHAnsi"/>
                <w:bCs/>
                <w:color w:val="FFFFFF" w:themeColor="background1"/>
                <w:lang w:bidi="ar-JO"/>
              </w:rPr>
            </w:pPr>
            <w:r w:rsidRPr="00424615">
              <w:rPr>
                <w:rFonts w:asciiTheme="minorHAnsi" w:hAnsiTheme="minorHAnsi" w:cstheme="minorHAnsi"/>
                <w:bCs/>
                <w:color w:val="FFFFFF" w:themeColor="background1"/>
                <w:rtl/>
                <w:lang w:bidi="ar-JO"/>
              </w:rPr>
              <w:t>مدونة قواعد السلوك :</w:t>
            </w:r>
          </w:p>
        </w:tc>
      </w:tr>
      <w:tr w:rsidR="00424615" w14:paraId="55F96BE8" w14:textId="77777777" w:rsidTr="00C56838">
        <w:tc>
          <w:tcPr>
            <w:tcW w:w="5240" w:type="dxa"/>
          </w:tcPr>
          <w:p w14:paraId="42D580F0" w14:textId="161CD14F" w:rsidR="00424615" w:rsidRPr="00C56838" w:rsidRDefault="00424615" w:rsidP="00C56838">
            <w:pPr>
              <w:pStyle w:val="H1"/>
              <w:spacing w:before="0" w:after="0"/>
              <w:jc w:val="both"/>
              <w:outlineLvl w:val="9"/>
              <w:rPr>
                <w:rFonts w:asciiTheme="minorHAnsi" w:hAnsiTheme="minorHAnsi" w:cstheme="minorHAnsi"/>
                <w:b w:val="0"/>
                <w:bCs/>
                <w:sz w:val="18"/>
                <w:szCs w:val="18"/>
              </w:rPr>
            </w:pPr>
            <w:r w:rsidRPr="00C56838">
              <w:rPr>
                <w:rFonts w:asciiTheme="minorHAnsi" w:hAnsiTheme="minorHAnsi" w:cstheme="minorHAnsi"/>
                <w:bCs/>
                <w:sz w:val="18"/>
                <w:szCs w:val="18"/>
              </w:rPr>
              <w:t xml:space="preserve">1.  Labour Standards </w:t>
            </w:r>
          </w:p>
          <w:p w14:paraId="52255FE8" w14:textId="334C3D0A"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 xml:space="preserve">The labour standards in this code are based on the conventions of the International Labour Organisation (ILO). </w:t>
            </w:r>
          </w:p>
          <w:p w14:paraId="054F284C" w14:textId="21B4DD0C"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Employment is freely chosen</w:t>
            </w:r>
            <w:r w:rsidRPr="00C56838">
              <w:rPr>
                <w:rFonts w:asciiTheme="minorHAnsi" w:hAnsiTheme="minorHAnsi" w:cstheme="minorHAnsi"/>
                <w:b/>
                <w:bCs/>
                <w:sz w:val="18"/>
                <w:szCs w:val="18"/>
              </w:rPr>
              <w:t xml:space="preserve"> </w:t>
            </w:r>
          </w:p>
          <w:p w14:paraId="7BC04B74" w14:textId="1F18F0FB"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There is no forced, bonded or involuntary prison labour. Workers are not required to lodge `deposits’ or their identity papers with the employer and are free to leave their employer after reasonable notice.</w:t>
            </w:r>
          </w:p>
          <w:p w14:paraId="0A6BE85D" w14:textId="05A7AF25"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Freedom of association and the right to collective bargaining are respected</w:t>
            </w:r>
            <w:r w:rsidRPr="00C56838">
              <w:rPr>
                <w:rFonts w:asciiTheme="minorHAnsi" w:hAnsiTheme="minorHAnsi" w:cstheme="minorHAnsi"/>
                <w:b/>
                <w:bCs/>
                <w:sz w:val="18"/>
                <w:szCs w:val="18"/>
              </w:rPr>
              <w:t xml:space="preserve"> </w:t>
            </w:r>
          </w:p>
          <w:p w14:paraId="71553001" w14:textId="3A288A99"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tc>
        <w:tc>
          <w:tcPr>
            <w:tcW w:w="425" w:type="dxa"/>
          </w:tcPr>
          <w:p w14:paraId="6C1F8495" w14:textId="77777777" w:rsidR="00424615" w:rsidRDefault="00424615" w:rsidP="002F6C9C">
            <w:pPr>
              <w:tabs>
                <w:tab w:val="left" w:pos="3528"/>
              </w:tabs>
              <w:rPr>
                <w:rFonts w:ascii="Arial Narrow" w:hAnsi="Arial Narrow" w:cs="Arial"/>
                <w:bCs/>
                <w:sz w:val="22"/>
                <w:lang w:val="en-GB"/>
              </w:rPr>
            </w:pPr>
          </w:p>
        </w:tc>
        <w:tc>
          <w:tcPr>
            <w:tcW w:w="4792" w:type="dxa"/>
          </w:tcPr>
          <w:p w14:paraId="4319E0F8" w14:textId="59E2A09D" w:rsidR="00424615" w:rsidRPr="00C56838" w:rsidRDefault="00424615" w:rsidP="00C56838">
            <w:pPr>
              <w:pStyle w:val="ListParagraph"/>
              <w:numPr>
                <w:ilvl w:val="0"/>
                <w:numId w:val="40"/>
              </w:numPr>
              <w:bidi/>
              <w:jc w:val="both"/>
              <w:rPr>
                <w:rFonts w:asciiTheme="minorHAnsi" w:hAnsiTheme="minorHAnsi" w:cstheme="minorHAnsi"/>
                <w:b/>
                <w:bCs/>
                <w:lang w:bidi="ar-JO"/>
              </w:rPr>
            </w:pPr>
            <w:r w:rsidRPr="00C56838">
              <w:rPr>
                <w:rFonts w:asciiTheme="minorHAnsi" w:hAnsiTheme="minorHAnsi" w:cstheme="minorHAnsi" w:hint="cs"/>
                <w:b/>
                <w:bCs/>
                <w:rtl/>
                <w:lang w:bidi="ar-JO"/>
              </w:rPr>
              <w:t xml:space="preserve">معايير </w:t>
            </w:r>
            <w:r w:rsidRPr="00C56838">
              <w:rPr>
                <w:rFonts w:asciiTheme="minorHAnsi" w:hAnsiTheme="minorHAnsi" w:cstheme="minorHAnsi"/>
                <w:b/>
                <w:bCs/>
                <w:rtl/>
                <w:lang w:bidi="ar-JO"/>
              </w:rPr>
              <w:t>العمل :</w:t>
            </w:r>
          </w:p>
          <w:p w14:paraId="20FA3012" w14:textId="6D11132F" w:rsidR="00424615" w:rsidRPr="00424615" w:rsidRDefault="00424615" w:rsidP="00C56838">
            <w:pPr>
              <w:bidi/>
              <w:jc w:val="both"/>
              <w:rPr>
                <w:rFonts w:asciiTheme="minorHAnsi" w:hAnsiTheme="minorHAnsi" w:cstheme="minorHAnsi"/>
                <w:b/>
                <w:bCs/>
                <w:rtl/>
                <w:lang w:bidi="ar-JO"/>
              </w:rPr>
            </w:pPr>
            <w:r w:rsidRPr="00424615">
              <w:rPr>
                <w:rFonts w:asciiTheme="minorHAnsi" w:hAnsiTheme="minorHAnsi" w:cstheme="minorHAnsi"/>
                <w:rtl/>
                <w:lang w:bidi="ar-JO"/>
              </w:rPr>
              <w:t>تستند معايير العمل في هذه المدونة على اتفاقيات "منظمة العمل الدولية".</w:t>
            </w:r>
          </w:p>
          <w:p w14:paraId="2CD7EAB4" w14:textId="77777777" w:rsidR="00C56838" w:rsidRPr="00C56838" w:rsidRDefault="00424615" w:rsidP="00C56838">
            <w:pPr>
              <w:pStyle w:val="ListParagraph"/>
              <w:numPr>
                <w:ilvl w:val="0"/>
                <w:numId w:val="41"/>
              </w:numPr>
              <w:bidi/>
              <w:jc w:val="both"/>
              <w:rPr>
                <w:rFonts w:asciiTheme="minorHAnsi" w:hAnsiTheme="minorHAnsi" w:cstheme="minorHAnsi"/>
                <w:lang w:bidi="ar-JO"/>
              </w:rPr>
            </w:pPr>
            <w:r w:rsidRPr="00C56838">
              <w:rPr>
                <w:rFonts w:asciiTheme="minorHAnsi" w:hAnsiTheme="minorHAnsi" w:cstheme="minorHAnsi"/>
                <w:b/>
                <w:bCs/>
                <w:rtl/>
                <w:lang w:bidi="ar-JO"/>
              </w:rPr>
              <w:t>حرية أختيار العمل.</w:t>
            </w:r>
          </w:p>
          <w:p w14:paraId="57A189E8" w14:textId="475EF91B" w:rsidR="00424615" w:rsidRPr="00424615" w:rsidRDefault="00424615" w:rsidP="00C56838">
            <w:pPr>
              <w:bidi/>
              <w:jc w:val="both"/>
              <w:rPr>
                <w:rFonts w:asciiTheme="minorHAnsi" w:hAnsiTheme="minorHAnsi" w:cstheme="minorHAnsi"/>
                <w:lang w:bidi="ar-JO"/>
              </w:rPr>
            </w:pPr>
            <w:r w:rsidRPr="00C56838">
              <w:rPr>
                <w:rFonts w:asciiTheme="minorHAnsi" w:hAnsiTheme="minorHAnsi" w:cstheme="minorHAnsi"/>
                <w:rtl/>
                <w:lang w:bidi="ar-JO"/>
              </w:rPr>
              <w:t xml:space="preserve">لا يسمح أي </w:t>
            </w:r>
            <w:r w:rsidRPr="00C56838">
              <w:rPr>
                <w:rFonts w:asciiTheme="minorHAnsi" w:hAnsiTheme="minorHAnsi" w:cstheme="minorHAnsi"/>
                <w:rtl/>
              </w:rPr>
              <w:t>إرغام على</w:t>
            </w:r>
            <w:r w:rsidRPr="00C56838">
              <w:rPr>
                <w:rFonts w:asciiTheme="minorHAnsi" w:hAnsiTheme="minorHAnsi" w:cstheme="minorHAnsi"/>
                <w:rtl/>
                <w:lang w:bidi="ar-JO"/>
              </w:rPr>
              <w:t xml:space="preserve"> العمل ولا السجن القسري و الغير الطوعي. كما أن العمال غير ملزمين بإيداع مبالغ مالية أو أوراق هويتهم مع صاحب العمل, حيث أنهم أحرار في مغادرة عملهم بعد إشعار مناسب.</w:t>
            </w:r>
          </w:p>
          <w:p w14:paraId="6B3462E5" w14:textId="77777777" w:rsidR="00424615" w:rsidRPr="00424615" w:rsidRDefault="00424615" w:rsidP="00C56838">
            <w:pPr>
              <w:pStyle w:val="ListParagraph"/>
              <w:numPr>
                <w:ilvl w:val="0"/>
                <w:numId w:val="32"/>
              </w:numPr>
              <w:bidi/>
              <w:jc w:val="both"/>
              <w:rPr>
                <w:rFonts w:asciiTheme="minorHAnsi" w:hAnsiTheme="minorHAnsi" w:cstheme="minorHAnsi"/>
                <w:b/>
                <w:bCs/>
                <w:rtl/>
                <w:lang w:bidi="ar-JO"/>
              </w:rPr>
            </w:pPr>
            <w:r w:rsidRPr="00424615">
              <w:rPr>
                <w:rFonts w:asciiTheme="minorHAnsi" w:hAnsiTheme="minorHAnsi" w:cstheme="minorHAnsi"/>
                <w:b/>
                <w:bCs/>
                <w:rtl/>
                <w:lang w:bidi="ar-JO"/>
              </w:rPr>
              <w:t>احترام حرية تكوين الجمعيات والحق في المفاوضة الجماعية.</w:t>
            </w:r>
          </w:p>
          <w:p w14:paraId="199E31EC" w14:textId="77777777" w:rsidR="00424615" w:rsidRDefault="00424615" w:rsidP="00C56838">
            <w:pPr>
              <w:tabs>
                <w:tab w:val="left" w:pos="3528"/>
              </w:tabs>
              <w:bidi/>
              <w:jc w:val="both"/>
              <w:rPr>
                <w:rFonts w:asciiTheme="minorHAnsi" w:hAnsiTheme="minorHAnsi" w:cstheme="minorHAnsi"/>
                <w:lang w:bidi="ar-JO"/>
              </w:rPr>
            </w:pPr>
            <w:r w:rsidRPr="00424615">
              <w:rPr>
                <w:rFonts w:asciiTheme="minorHAnsi" w:hAnsiTheme="minorHAnsi" w:cstheme="minorHAnsi"/>
                <w:rtl/>
                <w:lang w:bidi="ar-JO"/>
              </w:rPr>
              <w:t>للعمال، دون أي تمييز، الحق في الانضمام إلى أو تشكيل نقابات تجارية من إختيارهم, كما ولهم الحق في المساومة الجماعية. ويتقبل صاحب العمل الموقف بإنفتاح إزاء الأنشطة المشروعة للنقابات.  يمنع التحريض ضد ممثلي العمال حيث يجب أن يكون لديهم القدرة على الوصول إلى أداء مهامهم التمثيلية في مكان العمل. في حال تم تقييد الحق في الحرية النقابية والمفاوضة الجماعية قانونياَ، ، فيجب على صاحب العمل أن يعين ولا يعيق تطور وسائل موازية لحرية الاتحاد والمساومة المستقلة.</w:t>
            </w:r>
          </w:p>
          <w:p w14:paraId="102E2977" w14:textId="350B9D4C" w:rsidR="00424615" w:rsidRPr="00424615" w:rsidRDefault="00424615" w:rsidP="00C56838">
            <w:pPr>
              <w:tabs>
                <w:tab w:val="left" w:pos="3528"/>
              </w:tabs>
              <w:bidi/>
              <w:jc w:val="both"/>
              <w:rPr>
                <w:rFonts w:asciiTheme="minorHAnsi" w:hAnsiTheme="minorHAnsi" w:cstheme="minorHAnsi"/>
                <w:lang w:bidi="ar-JO"/>
              </w:rPr>
            </w:pPr>
          </w:p>
        </w:tc>
      </w:tr>
    </w:tbl>
    <w:p w14:paraId="6B8B5F5D" w14:textId="115079D0" w:rsidR="005B0303" w:rsidRDefault="005B0303"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240"/>
        <w:gridCol w:w="425"/>
        <w:gridCol w:w="4792"/>
      </w:tblGrid>
      <w:tr w:rsidR="00C56838" w14:paraId="64DE4578" w14:textId="77777777" w:rsidTr="00C56838">
        <w:tc>
          <w:tcPr>
            <w:tcW w:w="5240" w:type="dxa"/>
          </w:tcPr>
          <w:p w14:paraId="253A8664" w14:textId="67808B9D"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Working conditions are safe and hygienic</w:t>
            </w:r>
            <w:r w:rsidRPr="00C56838">
              <w:rPr>
                <w:rFonts w:asciiTheme="minorHAnsi" w:hAnsiTheme="minorHAnsi" w:cstheme="minorHAnsi"/>
                <w:b/>
                <w:bCs/>
                <w:sz w:val="18"/>
                <w:szCs w:val="18"/>
              </w:rPr>
              <w:t xml:space="preserve"> </w:t>
            </w:r>
          </w:p>
          <w:p w14:paraId="7AE47031" w14:textId="6A39AED1"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2C028F4D" w14:textId="6F3BE9BC"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Child Labour shall not be used</w:t>
            </w:r>
            <w:r w:rsidRPr="00C56838">
              <w:rPr>
                <w:rFonts w:asciiTheme="minorHAnsi" w:hAnsiTheme="minorHAnsi" w:cstheme="minorHAnsi"/>
                <w:b/>
                <w:bCs/>
                <w:sz w:val="18"/>
                <w:szCs w:val="18"/>
              </w:rPr>
              <w:t xml:space="preserve"> </w:t>
            </w:r>
          </w:p>
          <w:p w14:paraId="2FBD4FDF" w14:textId="05399BDB"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0CADECC4" w14:textId="77777777"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Living wages are paid</w:t>
            </w:r>
            <w:r w:rsidRPr="00C56838">
              <w:rPr>
                <w:rFonts w:asciiTheme="minorHAnsi" w:hAnsiTheme="minorHAnsi" w:cstheme="minorHAnsi"/>
                <w:b/>
                <w:bCs/>
                <w:sz w:val="18"/>
                <w:szCs w:val="18"/>
              </w:rPr>
              <w:t xml:space="preserve"> </w:t>
            </w:r>
          </w:p>
          <w:p w14:paraId="217FB49D" w14:textId="07913464" w:rsidR="00C56838" w:rsidRPr="00C56838" w:rsidRDefault="00C56838" w:rsidP="00C56838">
            <w:pPr>
              <w:jc w:val="both"/>
              <w:rPr>
                <w:rFonts w:ascii="Arial Narrow" w:hAnsi="Arial Narrow" w:cs="Arial"/>
                <w:sz w:val="22"/>
                <w:szCs w:val="22"/>
              </w:rPr>
            </w:pPr>
            <w:r w:rsidRPr="00C56838">
              <w:rPr>
                <w:rFonts w:asciiTheme="minorHAnsi" w:hAnsiTheme="minorHAnsi" w:cstheme="minorHAnsi"/>
                <w:sz w:val="18"/>
                <w:szCs w:val="18"/>
              </w:rPr>
              <w:t xml:space="preserve">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t>
            </w:r>
            <w:r w:rsidRPr="00C56838">
              <w:rPr>
                <w:rFonts w:asciiTheme="minorHAnsi" w:hAnsiTheme="minorHAnsi" w:cstheme="minorHAnsi"/>
                <w:sz w:val="18"/>
                <w:szCs w:val="18"/>
              </w:rPr>
              <w:lastRenderedPageBreak/>
              <w:t>wages as a disciplinary measure shall not be permitted nor shall any deductions from wages not provided for by national law be permitted without the express and informed permission of the worker concerned. All disciplinary measures should be recorded</w:t>
            </w:r>
            <w:r w:rsidRPr="00C56838">
              <w:rPr>
                <w:rFonts w:ascii="Arial Narrow" w:hAnsi="Arial Narrow" w:cs="Arial"/>
                <w:sz w:val="22"/>
                <w:szCs w:val="22"/>
              </w:rPr>
              <w:t>.</w:t>
            </w:r>
          </w:p>
        </w:tc>
        <w:tc>
          <w:tcPr>
            <w:tcW w:w="425" w:type="dxa"/>
          </w:tcPr>
          <w:p w14:paraId="3B40AFD2" w14:textId="77777777" w:rsidR="00C56838" w:rsidRDefault="00C56838" w:rsidP="002F6C9C">
            <w:pPr>
              <w:tabs>
                <w:tab w:val="left" w:pos="3528"/>
              </w:tabs>
              <w:rPr>
                <w:rFonts w:ascii="Arial Narrow" w:hAnsi="Arial Narrow" w:cs="Arial"/>
                <w:bCs/>
                <w:sz w:val="22"/>
                <w:lang w:val="en-GB"/>
              </w:rPr>
            </w:pPr>
          </w:p>
        </w:tc>
        <w:tc>
          <w:tcPr>
            <w:tcW w:w="4792" w:type="dxa"/>
          </w:tcPr>
          <w:p w14:paraId="67628598"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rtl/>
              </w:rPr>
              <w:t xml:space="preserve">ظروف عمل صحية وأمنه </w:t>
            </w:r>
          </w:p>
          <w:p w14:paraId="64B13846" w14:textId="04B3E0F5" w:rsidR="00C56838" w:rsidRPr="00424615" w:rsidRDefault="00C56838" w:rsidP="00C56838">
            <w:pPr>
              <w:bidi/>
              <w:jc w:val="both"/>
              <w:rPr>
                <w:rFonts w:asciiTheme="minorHAnsi" w:hAnsiTheme="minorHAnsi" w:cstheme="minorHAnsi"/>
              </w:rPr>
            </w:pPr>
            <w:r w:rsidRPr="00424615">
              <w:rPr>
                <w:rFonts w:asciiTheme="minorHAnsi" w:hAnsiTheme="minorHAnsi" w:cstheme="minorHAnsi"/>
                <w:rtl/>
              </w:rPr>
              <w:t xml:space="preserve">يجب توفير بيئة عمل آمنة وصحية، مع مراعاة المعرفة السائدة في هذا المجال وأي مخاطر محددة. ويجب إتخاذ خطوات كافية لمنع وقوع حوادث وإصابات صحية ممكن أن تحدث في سياق العمل ، وذلك عن طريق الحد  من أسباب المخاطر في بيئة العمل قدر الإمكان. ويتلقى العمال تدريبا منتظما ومسجلا في مجال الصحة والسلامة، ويكرر هذا التدريب للعمال أو المعينين الجدد. يجب توفير إمكانية الوصول إلى المرافق الصحية, والمراحيض النظيفة, والمياه الصالحة للشرب، وعند اللزوم يجب توفير مراكز صحية لتخزين الأغذية. ويجب أن تكون أماكن الإقامة نظيفة وأمنة وتلبي الإحتياجات الأساسية للعمال. تقوم الشركة التي تراقب المعايير بتعيين مسئؤلية الصحة والسلامة لممثل الإدارة العليا </w:t>
            </w:r>
            <w:r w:rsidRPr="00424615">
              <w:rPr>
                <w:rFonts w:asciiTheme="minorHAnsi" w:hAnsiTheme="minorHAnsi" w:cstheme="minorHAnsi"/>
              </w:rPr>
              <w:t>.</w:t>
            </w:r>
          </w:p>
          <w:p w14:paraId="7DC8C73E"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i/>
                <w:rtl/>
              </w:rPr>
              <w:t>منع عمالة الاطفال</w:t>
            </w:r>
          </w:p>
          <w:p w14:paraId="374B7836" w14:textId="35BF5D4B" w:rsidR="00C56838" w:rsidRPr="00424615" w:rsidRDefault="00C56838" w:rsidP="00C56838">
            <w:pPr>
              <w:bidi/>
              <w:jc w:val="both"/>
              <w:rPr>
                <w:rFonts w:asciiTheme="minorHAnsi" w:hAnsiTheme="minorHAnsi" w:cstheme="minorHAnsi"/>
                <w:lang w:bidi="ar-JO"/>
              </w:rPr>
            </w:pPr>
            <w:r w:rsidRPr="00424615">
              <w:rPr>
                <w:rFonts w:asciiTheme="minorHAnsi" w:hAnsiTheme="minorHAnsi" w:cstheme="minorHAnsi"/>
                <w:rtl/>
                <w:lang w:bidi="ar-JO"/>
              </w:rPr>
              <w:t>لا يسمح بعمالة الأطفال, ويجب على  الشركات المشاركة والمساهمة في وضع سياسات وبرامج تسهل إنتقال أي طفل وجد ليكون أداء عمالة الأطفال لتمكينة من الحصول على تعليم ذو كفائة حتى يصل إلى العمر القانوني. لا يسمح بتوظيف الأطفال والشباب بعد سن الثامنة عشر في وظائف خلال فترات ليلية، أو في ظروف خطرة. هذه السياسات والإجراءات تمتثل لأحكام معايير منظمة العمل الدولية (</w:t>
            </w:r>
            <w:r w:rsidRPr="00424615">
              <w:rPr>
                <w:rFonts w:asciiTheme="minorHAnsi" w:hAnsiTheme="minorHAnsi" w:cstheme="minorHAnsi"/>
                <w:lang w:bidi="ar-JO"/>
              </w:rPr>
              <w:t>ILO</w:t>
            </w:r>
            <w:r w:rsidRPr="00424615">
              <w:rPr>
                <w:rFonts w:asciiTheme="minorHAnsi" w:hAnsiTheme="minorHAnsi" w:cstheme="minorHAnsi"/>
                <w:rtl/>
                <w:lang w:bidi="ar-JO"/>
              </w:rPr>
              <w:t>) المتعلقة بهذا الخصوص.</w:t>
            </w:r>
          </w:p>
          <w:p w14:paraId="5933E3AE"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424615">
              <w:rPr>
                <w:rFonts w:asciiTheme="minorHAnsi" w:hAnsiTheme="minorHAnsi" w:cstheme="minorHAnsi"/>
                <w:b/>
                <w:bCs/>
                <w:rtl/>
                <w:lang w:bidi="ar-JO"/>
              </w:rPr>
              <w:t>دفع الاجور و الرواتب.</w:t>
            </w:r>
          </w:p>
          <w:p w14:paraId="3BA5DB63" w14:textId="70251217" w:rsidR="00C56838" w:rsidRPr="00C56838" w:rsidRDefault="00C56838" w:rsidP="00C56838">
            <w:pPr>
              <w:bidi/>
              <w:spacing w:line="276" w:lineRule="auto"/>
              <w:jc w:val="both"/>
              <w:rPr>
                <w:rFonts w:asciiTheme="minorHAnsi" w:hAnsiTheme="minorHAnsi" w:cstheme="minorHAnsi"/>
                <w:lang w:bidi="ar-JO"/>
              </w:rPr>
            </w:pPr>
            <w:r w:rsidRPr="00C56838">
              <w:rPr>
                <w:rFonts w:asciiTheme="minorHAnsi" w:hAnsiTheme="minorHAnsi" w:cstheme="minorHAnsi"/>
                <w:rtl/>
                <w:lang w:bidi="ar-JO"/>
              </w:rPr>
              <w:t xml:space="preserve">يتم دفع أجور ومستحقات أسبوع العمل، على الأقل، طبقا للمعايير القانونية و الصناعة. وعلى أي حال ينبغي أن تكون الأجور دائماً عالية بما يكفي لتلبية الإحتياجات الأساسية وتوفير بعض الإيرادات التقديرية. وتقدم معلومات مكتوبة ومفهومة حول ظروف العمال فيما يتعلق بالأجور قبل دخولهم العمل، وحول تفاصيل رواتبهم لفترة الدفع كل مرة يتم الدفع لهم. لا يجوز الخصم من الأجور كتدبير تأديبي لا يجوز أي اقتطاعات من الأجور التي لا ينص عليها القانون الوطني دون الحصول على إذن صريح ومستنيرة للعامل المعني. وينبغي تسجيل جميع التدابير </w:t>
            </w:r>
            <w:r w:rsidRPr="00C56838">
              <w:rPr>
                <w:rFonts w:asciiTheme="minorHAnsi" w:hAnsiTheme="minorHAnsi" w:cstheme="minorHAnsi" w:hint="eastAsia"/>
                <w:rtl/>
                <w:lang w:bidi="ar-JO"/>
              </w:rPr>
              <w:t>التأديبية</w:t>
            </w:r>
          </w:p>
        </w:tc>
      </w:tr>
      <w:tr w:rsidR="00C56838" w14:paraId="2CE92483" w14:textId="77777777" w:rsidTr="00C56838">
        <w:tc>
          <w:tcPr>
            <w:tcW w:w="5240" w:type="dxa"/>
          </w:tcPr>
          <w:p w14:paraId="7D9EDD70" w14:textId="3BA78241"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Working hours are not excessive</w:t>
            </w:r>
            <w:r w:rsidRPr="00382A60">
              <w:rPr>
                <w:rFonts w:asciiTheme="minorHAnsi" w:hAnsiTheme="minorHAnsi" w:cstheme="minorHAnsi"/>
                <w:b/>
                <w:bCs/>
                <w:sz w:val="18"/>
                <w:szCs w:val="18"/>
              </w:rPr>
              <w:t xml:space="preserve"> </w:t>
            </w:r>
          </w:p>
          <w:p w14:paraId="2E27EE7E" w14:textId="42B1EB2B"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7130373C" w14:textId="5D3F8BD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discrimination is practised</w:t>
            </w:r>
          </w:p>
          <w:p w14:paraId="36F4DE28" w14:textId="7EB3E871"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There is no discrimination in hiring, compensation, access to training, promotion, termination or retirement based on race, caste, national origin, religion, age, disability, gender, marital status, sexual orientation, union membership or political affiliation.</w:t>
            </w:r>
          </w:p>
          <w:p w14:paraId="4E0EE9F7" w14:textId="3E27702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Regular employment is provided</w:t>
            </w:r>
            <w:r w:rsidRPr="00382A60">
              <w:rPr>
                <w:rFonts w:asciiTheme="minorHAnsi" w:hAnsiTheme="minorHAnsi" w:cstheme="minorHAnsi"/>
                <w:b/>
                <w:bCs/>
                <w:sz w:val="18"/>
                <w:szCs w:val="18"/>
              </w:rPr>
              <w:t xml:space="preserve"> </w:t>
            </w:r>
          </w:p>
          <w:p w14:paraId="2D3295E7" w14:textId="77777777"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08AD8B59" w14:textId="77777777" w:rsidR="00C56838" w:rsidRPr="00C56838" w:rsidRDefault="00C56838" w:rsidP="00C56838">
            <w:pPr>
              <w:jc w:val="both"/>
              <w:rPr>
                <w:rFonts w:asciiTheme="minorHAnsi" w:hAnsiTheme="minorHAnsi" w:cstheme="minorHAnsi"/>
                <w:sz w:val="18"/>
                <w:szCs w:val="18"/>
              </w:rPr>
            </w:pPr>
          </w:p>
          <w:p w14:paraId="776AACC3" w14:textId="17DD316B"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harsh or inhumane treatment is allowed</w:t>
            </w:r>
          </w:p>
          <w:p w14:paraId="43D4042E" w14:textId="31D9684A" w:rsidR="00C56838" w:rsidRPr="0073536B" w:rsidRDefault="00C56838" w:rsidP="0073536B">
            <w:pPr>
              <w:jc w:val="both"/>
              <w:rPr>
                <w:rFonts w:asciiTheme="minorHAnsi" w:hAnsiTheme="minorHAnsi" w:cstheme="minorHAnsi"/>
                <w:sz w:val="18"/>
                <w:szCs w:val="18"/>
              </w:rPr>
            </w:pPr>
            <w:r w:rsidRPr="00C56838">
              <w:rPr>
                <w:rFonts w:asciiTheme="minorHAnsi" w:hAnsiTheme="minorHAnsi" w:cstheme="minorHAnsi"/>
                <w:sz w:val="18"/>
                <w:szCs w:val="18"/>
              </w:rPr>
              <w:t>Physical abuse or discipline, the threat of physical abuse, sexual or other harassment and verbal abuse or other forms of intimidation shall be prohibited.</w:t>
            </w:r>
          </w:p>
        </w:tc>
        <w:tc>
          <w:tcPr>
            <w:tcW w:w="425" w:type="dxa"/>
          </w:tcPr>
          <w:p w14:paraId="37B13D91" w14:textId="77777777" w:rsidR="00C56838" w:rsidRPr="00C56838" w:rsidRDefault="00C56838" w:rsidP="002F6C9C">
            <w:pPr>
              <w:tabs>
                <w:tab w:val="left" w:pos="3528"/>
              </w:tabs>
              <w:rPr>
                <w:rFonts w:ascii="Arial Narrow" w:hAnsi="Arial Narrow" w:cs="Arial"/>
                <w:bCs/>
                <w:sz w:val="22"/>
              </w:rPr>
            </w:pPr>
          </w:p>
        </w:tc>
        <w:tc>
          <w:tcPr>
            <w:tcW w:w="4792" w:type="dxa"/>
          </w:tcPr>
          <w:p w14:paraId="6832A0AF"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عدم الافراط في ساعات العمل</w:t>
            </w:r>
            <w:r w:rsidRPr="00C56838">
              <w:rPr>
                <w:rFonts w:asciiTheme="minorHAnsi" w:hAnsiTheme="minorHAnsi" w:cstheme="minorHAnsi"/>
                <w:rtl/>
                <w:lang w:bidi="ar-JO"/>
              </w:rPr>
              <w:t xml:space="preserve"> </w:t>
            </w:r>
          </w:p>
          <w:p w14:paraId="5A63FD1A" w14:textId="05ABDA1F"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الامتثال لساعات العمل حسب القوانين الوطنية، وقياس معايير الصناعة، وأيهما يتيح قدراَ أكبر من الحماية. على أي حال، لا يجوز إلزام العاملين بالعمل لفترة  تزيد عن ساعات العمل القانونية المحلية بشكل منتظم. و بالنسبة للعمل الاضافي فإنه يكون بشكل طوعي و لا يتجاوز الحدود القانونية المحلية، ولا يجوز أن يطالب بصفة منتظمة ويعوض دائماً بمعدل قسط التأمين.</w:t>
            </w:r>
          </w:p>
          <w:p w14:paraId="48F1B8C5"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C56838">
              <w:rPr>
                <w:rFonts w:asciiTheme="minorHAnsi" w:hAnsiTheme="minorHAnsi" w:cstheme="minorHAnsi"/>
                <w:b/>
                <w:bCs/>
                <w:rtl/>
                <w:lang w:bidi="ar-JO"/>
              </w:rPr>
              <w:t>عدم التمييز بين العمال</w:t>
            </w:r>
            <w:r w:rsidRPr="00C56838">
              <w:rPr>
                <w:rFonts w:asciiTheme="minorHAnsi" w:hAnsiTheme="minorHAnsi" w:cstheme="minorHAnsi"/>
                <w:rtl/>
                <w:lang w:bidi="ar-JO"/>
              </w:rPr>
              <w:t xml:space="preserve"> </w:t>
            </w:r>
          </w:p>
          <w:p w14:paraId="041E79B7" w14:textId="294A9CA8"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لا يسمح التمييز في عمليات التوظيف والتعويض، والحصول على التدريب ,أوالترقية, أو إنهاء الخدمة, أو التقاعد على أساس العرق, أو الأصل، أو الدين، أو العمر،أو الإعاقة،أو الجنس، أو الحالة الزوجية، أو التوجه الجنسي، أو أي عضوية, أو الإنتماء السياسي.</w:t>
            </w:r>
          </w:p>
          <w:p w14:paraId="20300659"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 xml:space="preserve">توفر العمالة المنتظمة </w:t>
            </w:r>
          </w:p>
          <w:p w14:paraId="07363990" w14:textId="14F410DC" w:rsidR="00C56838" w:rsidRPr="00C56838" w:rsidRDefault="00C56838" w:rsidP="00382A60">
            <w:pPr>
              <w:bidi/>
              <w:jc w:val="both"/>
              <w:rPr>
                <w:rFonts w:asciiTheme="minorHAnsi" w:hAnsiTheme="minorHAnsi" w:cstheme="minorHAnsi"/>
                <w:lang w:bidi="ar-JO"/>
              </w:rPr>
            </w:pPr>
            <w:r w:rsidRPr="00C56838">
              <w:rPr>
                <w:rFonts w:asciiTheme="minorHAnsi" w:hAnsiTheme="minorHAnsi" w:cstheme="minorHAnsi"/>
                <w:rtl/>
                <w:lang w:bidi="ar-JO"/>
              </w:rPr>
              <w:t>يجب على كل حد ممكن أن يكون العمل المنجز على أساس علاقة العمل المعترف بها من خلال القوانين والممارسات الوطنية. لا يلزم تجنب إلتزامات تجاه العاملين تحت قوانين العمل أو الضمان الإجتماعي والأنظمة الناشئة عن علاقة العمل العادية عن طريق العمل حسب التعاقد، ترتيبات المتعاقد الفرعي أو العمل من المنزل، أو تجنب مخططات عن طريق التلمذة في حال كان هناك أي نية حقيقية لنقل المهارات أو توفير العمالة العادية، ولا تقوم أي من هذه الإلتزامات من خلال الإفراط في استخدام عقود عمل محددة المدة.</w:t>
            </w:r>
          </w:p>
          <w:p w14:paraId="2BFF529A" w14:textId="77777777" w:rsidR="00C56838" w:rsidRDefault="00C56838" w:rsidP="00C56838">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 xml:space="preserve">عدم السماح بوجود المعاملة القاسية و اللاإنسانية </w:t>
            </w:r>
          </w:p>
          <w:p w14:paraId="2593A9E3" w14:textId="17C642DA" w:rsidR="00C56838" w:rsidRPr="00C56838" w:rsidRDefault="00C56838" w:rsidP="00C56838">
            <w:pPr>
              <w:bidi/>
              <w:spacing w:line="276" w:lineRule="auto"/>
              <w:jc w:val="both"/>
              <w:rPr>
                <w:rFonts w:asciiTheme="minorHAnsi" w:hAnsiTheme="minorHAnsi" w:cstheme="minorHAnsi"/>
                <w:b/>
                <w:bCs/>
                <w:rtl/>
                <w:lang w:bidi="ar-JO"/>
              </w:rPr>
            </w:pPr>
            <w:r w:rsidRPr="00C56838">
              <w:rPr>
                <w:rFonts w:asciiTheme="minorHAnsi" w:hAnsiTheme="minorHAnsi" w:cstheme="minorHAnsi"/>
                <w:rtl/>
                <w:lang w:bidi="ar-JO"/>
              </w:rPr>
              <w:t>يحظر الإيذاء البدني و العقاب، والتهديد بالإيذاء الجسدي، و الجنسي, أو أخرى التحرش والإساءة اللفظية أو أي أشكال أخرى من الترهيب.</w:t>
            </w:r>
          </w:p>
        </w:tc>
      </w:tr>
    </w:tbl>
    <w:p w14:paraId="575DDB01" w14:textId="21891BB9" w:rsidR="00C56838" w:rsidRDefault="00C56838"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117"/>
        <w:gridCol w:w="222"/>
        <w:gridCol w:w="5118"/>
      </w:tblGrid>
      <w:tr w:rsidR="00382A60" w14:paraId="13FCC00D" w14:textId="77777777" w:rsidTr="00FE3CEF">
        <w:tc>
          <w:tcPr>
            <w:tcW w:w="5120" w:type="dxa"/>
          </w:tcPr>
          <w:p w14:paraId="7ED2F02E"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lastRenderedPageBreak/>
              <w:t xml:space="preserve">B. Environmental Standards </w:t>
            </w:r>
          </w:p>
          <w:p w14:paraId="7D550EC4"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Suppliers should as a minimum comply with all statutory and other legal requirements relating to the environmental impacts of their business. Detailed performance standards are a matter for suppliers, but should address at least the following: </w:t>
            </w:r>
          </w:p>
          <w:p w14:paraId="4324715C" w14:textId="77777777" w:rsidR="00382A60" w:rsidRPr="00382A60" w:rsidRDefault="00382A60" w:rsidP="00382A60">
            <w:pPr>
              <w:jc w:val="both"/>
              <w:rPr>
                <w:rFonts w:asciiTheme="minorHAnsi" w:hAnsiTheme="minorHAnsi" w:cstheme="minorHAnsi"/>
                <w:sz w:val="18"/>
                <w:szCs w:val="18"/>
                <w:u w:val="single"/>
              </w:rPr>
            </w:pPr>
          </w:p>
          <w:p w14:paraId="681DAF82"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Waste Management</w:t>
            </w:r>
            <w:r w:rsidRPr="00382A60">
              <w:rPr>
                <w:rFonts w:asciiTheme="minorHAnsi" w:hAnsiTheme="minorHAnsi" w:cstheme="minorHAnsi"/>
                <w:b/>
                <w:bCs/>
                <w:sz w:val="18"/>
                <w:szCs w:val="18"/>
              </w:rPr>
              <w:t xml:space="preserve"> </w:t>
            </w:r>
          </w:p>
          <w:p w14:paraId="55E30D4E"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Waste is minimised and items recycled whenever this is practicable. Effective controls of waste in respect of ground, air, and water pollution are  adopted. In the case of hazardous materials, emergency response plans are  in place.</w:t>
            </w:r>
          </w:p>
          <w:p w14:paraId="02824594" w14:textId="77777777" w:rsidR="00382A60" w:rsidRPr="00382A60" w:rsidRDefault="00382A60" w:rsidP="00382A60">
            <w:pPr>
              <w:jc w:val="both"/>
              <w:rPr>
                <w:rFonts w:asciiTheme="minorHAnsi" w:hAnsiTheme="minorHAnsi" w:cstheme="minorHAnsi"/>
                <w:sz w:val="18"/>
                <w:szCs w:val="18"/>
              </w:rPr>
            </w:pPr>
          </w:p>
          <w:p w14:paraId="5AB3E2E1"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Packaging and Paper</w:t>
            </w:r>
            <w:r w:rsidRPr="00382A60">
              <w:rPr>
                <w:rFonts w:asciiTheme="minorHAnsi" w:hAnsiTheme="minorHAnsi" w:cstheme="minorHAnsi"/>
                <w:b/>
                <w:bCs/>
                <w:sz w:val="18"/>
                <w:szCs w:val="18"/>
              </w:rPr>
              <w:t xml:space="preserve"> </w:t>
            </w:r>
          </w:p>
          <w:p w14:paraId="4213C0B6"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Undue and unnecessary use of materials is avoided, and recycled materials used whenever appropriate.</w:t>
            </w:r>
          </w:p>
          <w:p w14:paraId="0AD4D0F9" w14:textId="77777777" w:rsidR="00382A60" w:rsidRPr="00382A60" w:rsidRDefault="00382A60" w:rsidP="00382A60">
            <w:pPr>
              <w:jc w:val="both"/>
              <w:rPr>
                <w:rFonts w:asciiTheme="minorHAnsi" w:hAnsiTheme="minorHAnsi" w:cstheme="minorHAnsi"/>
                <w:sz w:val="18"/>
                <w:szCs w:val="18"/>
              </w:rPr>
            </w:pPr>
          </w:p>
          <w:p w14:paraId="2161A58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Conservation</w:t>
            </w:r>
            <w:r w:rsidRPr="00382A60">
              <w:rPr>
                <w:rFonts w:asciiTheme="minorHAnsi" w:hAnsiTheme="minorHAnsi" w:cstheme="minorHAnsi"/>
                <w:b/>
                <w:bCs/>
                <w:sz w:val="18"/>
                <w:szCs w:val="18"/>
              </w:rPr>
              <w:t xml:space="preserve"> </w:t>
            </w:r>
          </w:p>
          <w:p w14:paraId="3A188B1B"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Processes and activities are monitored and modified as necessary to ensure that conservation of scarce resources, including water, flora and fauna and productive land in certain situations.</w:t>
            </w:r>
          </w:p>
          <w:p w14:paraId="5A9D5AD5" w14:textId="77777777" w:rsidR="00382A60" w:rsidRPr="00382A60" w:rsidRDefault="00382A60" w:rsidP="00382A60">
            <w:pPr>
              <w:jc w:val="both"/>
              <w:rPr>
                <w:rFonts w:asciiTheme="minorHAnsi" w:hAnsiTheme="minorHAnsi" w:cstheme="minorHAnsi"/>
                <w:sz w:val="18"/>
                <w:szCs w:val="18"/>
              </w:rPr>
            </w:pPr>
          </w:p>
          <w:p w14:paraId="61B276E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 xml:space="preserve">Energy Use </w:t>
            </w:r>
          </w:p>
          <w:p w14:paraId="1688F189"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All production and delivery processes, including the use of heating, ventilation, lighting, IT systems and transportation, are based on the need to maximise efficient energy use and to minimise harmful emissions.</w:t>
            </w:r>
          </w:p>
          <w:p w14:paraId="1EA6D848" w14:textId="77777777" w:rsidR="00382A60" w:rsidRPr="00382A60" w:rsidRDefault="00382A60" w:rsidP="00382A60">
            <w:pPr>
              <w:jc w:val="both"/>
              <w:rPr>
                <w:rFonts w:asciiTheme="minorHAnsi" w:hAnsiTheme="minorHAnsi" w:cstheme="minorHAnsi"/>
                <w:i/>
                <w:sz w:val="18"/>
                <w:szCs w:val="18"/>
              </w:rPr>
            </w:pPr>
          </w:p>
          <w:p w14:paraId="01C40EE3" w14:textId="77777777" w:rsidR="00382A60" w:rsidRPr="00382A60" w:rsidRDefault="00382A60" w:rsidP="00382A60">
            <w:pPr>
              <w:pStyle w:val="ListParagraph"/>
              <w:numPr>
                <w:ilvl w:val="0"/>
                <w:numId w:val="30"/>
              </w:numPr>
              <w:ind w:left="426" w:hanging="426"/>
              <w:jc w:val="both"/>
              <w:rPr>
                <w:rFonts w:asciiTheme="minorHAnsi" w:hAnsiTheme="minorHAnsi" w:cstheme="minorHAnsi"/>
                <w:bCs/>
                <w:i/>
                <w:sz w:val="18"/>
                <w:szCs w:val="18"/>
              </w:rPr>
            </w:pPr>
            <w:r w:rsidRPr="00382A60">
              <w:rPr>
                <w:rStyle w:val="Strong"/>
                <w:rFonts w:asciiTheme="minorHAnsi" w:hAnsiTheme="minorHAnsi" w:cstheme="minorHAnsi"/>
                <w:bCs w:val="0"/>
                <w:i/>
                <w:sz w:val="18"/>
                <w:szCs w:val="18"/>
              </w:rPr>
              <w:t>Safety precautions for transport and cargo handling</w:t>
            </w:r>
          </w:p>
          <w:p w14:paraId="1DCBEBDE" w14:textId="597BCDF0"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sz w:val="18"/>
                <w:szCs w:val="18"/>
              </w:rPr>
              <w:t>All transport and cargo handling processes are based on the need to maximise safety precautions and to minimise poential enjuries to ADRA beneficiaries and staff as well as the suppliers’s employees or those of its subcontractors</w:t>
            </w:r>
          </w:p>
        </w:tc>
        <w:tc>
          <w:tcPr>
            <w:tcW w:w="217" w:type="dxa"/>
          </w:tcPr>
          <w:p w14:paraId="33245926" w14:textId="77777777" w:rsidR="00382A60" w:rsidRDefault="00382A60" w:rsidP="002F6C9C">
            <w:pPr>
              <w:tabs>
                <w:tab w:val="left" w:pos="3528"/>
              </w:tabs>
              <w:rPr>
                <w:rFonts w:ascii="Arial Narrow" w:hAnsi="Arial Narrow" w:cs="Arial"/>
                <w:bCs/>
                <w:sz w:val="22"/>
                <w:lang w:val="en-GB"/>
              </w:rPr>
            </w:pPr>
          </w:p>
        </w:tc>
        <w:tc>
          <w:tcPr>
            <w:tcW w:w="5120" w:type="dxa"/>
          </w:tcPr>
          <w:p w14:paraId="5D83F695" w14:textId="77777777" w:rsidR="00382A60" w:rsidRPr="00C56838" w:rsidRDefault="00382A60" w:rsidP="00382A60">
            <w:pPr>
              <w:pStyle w:val="ListParagraph"/>
              <w:numPr>
                <w:ilvl w:val="0"/>
                <w:numId w:val="40"/>
              </w:numPr>
              <w:bidi/>
              <w:spacing w:line="276" w:lineRule="auto"/>
              <w:jc w:val="both"/>
              <w:rPr>
                <w:rFonts w:asciiTheme="minorHAnsi" w:hAnsiTheme="minorHAnsi" w:cstheme="minorHAnsi"/>
                <w:b/>
                <w:bCs/>
                <w:u w:val="single"/>
                <w:lang w:bidi="ar-JO"/>
              </w:rPr>
            </w:pPr>
            <w:r w:rsidRPr="00C56838">
              <w:rPr>
                <w:rFonts w:asciiTheme="minorHAnsi" w:hAnsiTheme="minorHAnsi" w:cstheme="minorHAnsi"/>
                <w:b/>
                <w:bCs/>
                <w:u w:val="single"/>
                <w:rtl/>
                <w:lang w:bidi="ar-JO"/>
              </w:rPr>
              <w:t>المعايير البيئية:</w:t>
            </w:r>
          </w:p>
          <w:p w14:paraId="2A97A033" w14:textId="77777777" w:rsidR="00382A60" w:rsidRPr="00C56838" w:rsidRDefault="00382A60" w:rsidP="00382A60">
            <w:pPr>
              <w:bidi/>
              <w:jc w:val="both"/>
              <w:rPr>
                <w:rFonts w:asciiTheme="minorHAnsi" w:hAnsiTheme="minorHAnsi" w:cstheme="minorHAnsi"/>
                <w:b/>
                <w:bCs/>
                <w:u w:val="single"/>
                <w:rtl/>
                <w:lang w:bidi="ar-JO"/>
              </w:rPr>
            </w:pPr>
            <w:r w:rsidRPr="00C56838">
              <w:rPr>
                <w:rFonts w:asciiTheme="minorHAnsi" w:hAnsiTheme="minorHAnsi" w:cstheme="minorHAnsi"/>
                <w:rtl/>
                <w:lang w:bidi="ar-JO"/>
              </w:rPr>
              <w:t>ينبغي أن يمتثل الموردون كحد أدنى لجميع المتطلبات القانونية  وغيرها المتعلقة بالآثار البيئية المترتبة على أعمالهم. معايير الأداء التفصيلية هي مدعاة للموردين، ولكن ينبغي أن تعالج على الأقل ما يلي:</w:t>
            </w:r>
          </w:p>
          <w:p w14:paraId="15E997DA"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rtl/>
                <w:lang w:bidi="ar-JO"/>
              </w:rPr>
            </w:pPr>
            <w:r w:rsidRPr="00C56838">
              <w:rPr>
                <w:rFonts w:asciiTheme="minorHAnsi" w:hAnsiTheme="minorHAnsi" w:cstheme="minorHAnsi"/>
                <w:b/>
                <w:bCs/>
                <w:rtl/>
                <w:lang w:bidi="ar-JO"/>
              </w:rPr>
              <w:t>إدارة النفايات.</w:t>
            </w:r>
          </w:p>
          <w:p w14:paraId="3D733912"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هو التقليل من النفايات والمواد المعاد تدويرها كلما كان ذلك عمليا. ويتم إعتماد ضوابط فعالة للنفايات فيما يتعلق بالأرض والهواء وتلوث المياه. وفي حالة المواد الخطرة، توجد خطط الإستجابة لحالات الطوارئ.</w:t>
            </w:r>
          </w:p>
          <w:p w14:paraId="08614E32" w14:textId="77777777" w:rsidR="00382A60" w:rsidRPr="00C56838" w:rsidRDefault="00382A60" w:rsidP="00382A60">
            <w:pPr>
              <w:bidi/>
              <w:jc w:val="both"/>
              <w:rPr>
                <w:rFonts w:asciiTheme="minorHAnsi" w:hAnsiTheme="minorHAnsi" w:cstheme="minorHAnsi"/>
                <w:rtl/>
                <w:lang w:bidi="ar-JO"/>
              </w:rPr>
            </w:pPr>
          </w:p>
          <w:p w14:paraId="180181C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التعبئة والتغليف والورق.</w:t>
            </w:r>
          </w:p>
          <w:p w14:paraId="0CDD3A57"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تجنب استخدام المواد بشكل غير مبرر ولا داعي له، واستخدام المواد المعاد تدويرها كلما كان ذلك مناسباً.</w:t>
            </w:r>
          </w:p>
          <w:p w14:paraId="1E13DD2C" w14:textId="77777777" w:rsidR="00382A60" w:rsidRPr="00C56838" w:rsidRDefault="00382A60" w:rsidP="00382A60">
            <w:pPr>
              <w:bidi/>
              <w:jc w:val="both"/>
              <w:rPr>
                <w:rFonts w:asciiTheme="minorHAnsi" w:hAnsiTheme="minorHAnsi" w:cstheme="minorHAnsi"/>
                <w:rtl/>
                <w:lang w:bidi="ar-JO"/>
              </w:rPr>
            </w:pPr>
          </w:p>
          <w:p w14:paraId="7B1891F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الحفظ .</w:t>
            </w:r>
          </w:p>
          <w:p w14:paraId="78A568CE"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عمليات وأنشطة الرصد والتعديل كلما إقتضت الحاجة لضمان الحفاظ على الموارد النادرة، بما في ذلك المياه، والنباتات والحيوانات والأراضي المنتجة في حالات معينة.</w:t>
            </w:r>
          </w:p>
          <w:p w14:paraId="7CB29534"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استخدام الطاقة.</w:t>
            </w:r>
          </w:p>
          <w:p w14:paraId="6A12DB2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تستند جميع عمليات الإنتاج والتسليم، بما في ذلك استخدام التدفئة والتهوية، والإضاءة، ونظم تكنولوجيا المعلومات والنقل والحاجة إلى لرفع كفاءة استخدام الطاقة وتقليل الإنبعاثات الضارة.</w:t>
            </w:r>
          </w:p>
          <w:p w14:paraId="706E83B1" w14:textId="77777777" w:rsidR="00382A60" w:rsidRDefault="00382A60" w:rsidP="00382A60">
            <w:pPr>
              <w:bidi/>
              <w:jc w:val="both"/>
              <w:rPr>
                <w:rFonts w:asciiTheme="minorHAnsi" w:hAnsiTheme="minorHAnsi" w:cstheme="minorHAnsi"/>
                <w:lang w:bidi="ar-JO"/>
              </w:rPr>
            </w:pPr>
          </w:p>
          <w:p w14:paraId="5ABF084C" w14:textId="77777777" w:rsidR="00382A60" w:rsidRPr="00C56838" w:rsidRDefault="00382A60" w:rsidP="00382A60">
            <w:pPr>
              <w:bidi/>
              <w:jc w:val="both"/>
              <w:rPr>
                <w:rFonts w:asciiTheme="minorHAnsi" w:hAnsiTheme="minorHAnsi" w:cstheme="minorHAnsi"/>
                <w:rtl/>
                <w:lang w:bidi="ar-JO"/>
              </w:rPr>
            </w:pPr>
          </w:p>
          <w:p w14:paraId="6DAE3422"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احتياطات السلامة للنقل ومناولة البضائع.</w:t>
            </w:r>
          </w:p>
          <w:p w14:paraId="147CD4CF" w14:textId="4F12E51A"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rtl/>
                <w:lang w:bidi="ar-JO"/>
              </w:rPr>
              <w:t>جميع علميات النقل و مناولة البضائع تستند إلى الحاجة لزيادة إحتياطات السلامة وتقليل الإصابات المحتملة لمستفيدي منظمة ادرا وموضفيها, وكذلك موظفي الموردين أو المتعاقدين معهم</w:t>
            </w:r>
          </w:p>
        </w:tc>
      </w:tr>
      <w:tr w:rsidR="00382A60" w14:paraId="3C21957B" w14:textId="77777777" w:rsidTr="00FE3CEF">
        <w:tc>
          <w:tcPr>
            <w:tcW w:w="5120" w:type="dxa"/>
          </w:tcPr>
          <w:p w14:paraId="4356EE89"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 xml:space="preserve">C. Business Behaviour </w:t>
            </w:r>
          </w:p>
          <w:p w14:paraId="7909DCB3" w14:textId="77777777" w:rsidR="00382A60" w:rsidRPr="00382A60" w:rsidRDefault="00382A60" w:rsidP="00382A60">
            <w:pPr>
              <w:jc w:val="both"/>
              <w:rPr>
                <w:rFonts w:asciiTheme="minorHAnsi" w:hAnsiTheme="minorHAnsi" w:cstheme="minorHAnsi"/>
                <w:sz w:val="18"/>
                <w:szCs w:val="18"/>
              </w:rPr>
            </w:pPr>
          </w:p>
          <w:p w14:paraId="56D52312" w14:textId="1BF38D53"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The conduct of the supplier should not violate the basic rights of ADRA’s beneficiaries.</w:t>
            </w:r>
          </w:p>
          <w:p w14:paraId="49AF5F2D"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The supplier should not be engaged </w:t>
            </w:r>
          </w:p>
          <w:p w14:paraId="67E321EE"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manufacture of arms </w:t>
            </w:r>
          </w:p>
          <w:p w14:paraId="0F998679"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sale of arms to governments which systematically violate the human rights of their citizens; or where there is internal armed conflict or major tensions; or where the sale of arms may jeopardise regional peace and security. </w:t>
            </w:r>
          </w:p>
          <w:p w14:paraId="0FC88FB9" w14:textId="77777777" w:rsidR="00382A60" w:rsidRPr="00382A60" w:rsidRDefault="00382A60" w:rsidP="00382A60">
            <w:pPr>
              <w:jc w:val="both"/>
              <w:rPr>
                <w:rFonts w:asciiTheme="minorHAnsi" w:hAnsiTheme="minorHAnsi" w:cstheme="minorHAnsi"/>
                <w:bCs/>
                <w:sz w:val="18"/>
                <w:szCs w:val="18"/>
              </w:rPr>
            </w:pPr>
          </w:p>
          <w:p w14:paraId="23398819" w14:textId="34FF3CE6"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D. ADRA procurement rules and regulations</w:t>
            </w:r>
          </w:p>
          <w:p w14:paraId="7126E605" w14:textId="77777777" w:rsidR="00382A60" w:rsidRPr="00382A60" w:rsidRDefault="00382A60" w:rsidP="00382A60">
            <w:pPr>
              <w:jc w:val="both"/>
              <w:rPr>
                <w:rFonts w:asciiTheme="minorHAnsi" w:hAnsiTheme="minorHAnsi" w:cstheme="minorHAnsi"/>
                <w:sz w:val="18"/>
                <w:szCs w:val="18"/>
                <w:rtl/>
              </w:rPr>
            </w:pPr>
            <w:r w:rsidRPr="00382A60">
              <w:rPr>
                <w:rFonts w:asciiTheme="minorHAnsi" w:hAnsiTheme="minorHAnsi" w:cstheme="minorHAnsi"/>
                <w:sz w:val="18"/>
                <w:szCs w:val="18"/>
              </w:rPr>
              <w:t>Suppliers should comply with ADRA procurement rules and regulations outlines in ADRA Logistics Manual Version 1.3. or above. In particular, ADRA’s procurement policy set out in Section 2.1 and 2.4. (contract awarding). By doing so, Suppliers acknowledge that they do not find themselves in any of the situations of exclusion as refered to under section 2.4.2.</w:t>
            </w:r>
          </w:p>
          <w:p w14:paraId="09D0F2A3" w14:textId="01C0F852" w:rsidR="00382A60" w:rsidRPr="00382A60" w:rsidRDefault="00382A60" w:rsidP="00382A60">
            <w:pPr>
              <w:pStyle w:val="H1"/>
              <w:spacing w:before="0" w:after="0"/>
              <w:jc w:val="both"/>
              <w:outlineLvl w:val="9"/>
              <w:rPr>
                <w:rFonts w:asciiTheme="minorHAnsi" w:hAnsiTheme="minorHAnsi" w:cstheme="minorHAnsi"/>
                <w:bCs/>
                <w:sz w:val="18"/>
                <w:szCs w:val="18"/>
              </w:rPr>
            </w:pPr>
          </w:p>
        </w:tc>
        <w:tc>
          <w:tcPr>
            <w:tcW w:w="217" w:type="dxa"/>
          </w:tcPr>
          <w:p w14:paraId="2FF91C13" w14:textId="77777777" w:rsidR="00382A60" w:rsidRDefault="00382A60" w:rsidP="002F6C9C">
            <w:pPr>
              <w:tabs>
                <w:tab w:val="left" w:pos="3528"/>
              </w:tabs>
              <w:rPr>
                <w:rFonts w:ascii="Arial Narrow" w:hAnsi="Arial Narrow" w:cs="Arial"/>
                <w:bCs/>
                <w:sz w:val="22"/>
                <w:lang w:val="en-GB"/>
              </w:rPr>
            </w:pPr>
          </w:p>
        </w:tc>
        <w:tc>
          <w:tcPr>
            <w:tcW w:w="5120" w:type="dxa"/>
          </w:tcPr>
          <w:p w14:paraId="77963742" w14:textId="77777777" w:rsidR="00382A60" w:rsidRPr="00382A60" w:rsidRDefault="00382A60" w:rsidP="00382A60">
            <w:pPr>
              <w:bidi/>
              <w:spacing w:after="200" w:line="276" w:lineRule="auto"/>
              <w:rPr>
                <w:rFonts w:asciiTheme="minorHAnsi" w:hAnsiTheme="minorHAnsi" w:cstheme="minorHAnsi"/>
                <w:b/>
                <w:bCs/>
                <w:u w:val="single"/>
                <w:lang w:bidi="ar-JO"/>
              </w:rPr>
            </w:pPr>
            <w:r w:rsidRPr="00382A60">
              <w:rPr>
                <w:rFonts w:asciiTheme="minorHAnsi" w:hAnsiTheme="minorHAnsi" w:cstheme="minorHAnsi"/>
                <w:b/>
                <w:bCs/>
                <w:u w:val="single"/>
                <w:rtl/>
                <w:lang w:bidi="ar-JO"/>
              </w:rPr>
              <w:t>3</w:t>
            </w:r>
            <w:r w:rsidRPr="00382A60">
              <w:rPr>
                <w:rFonts w:asciiTheme="minorHAnsi" w:hAnsiTheme="minorHAnsi" w:cstheme="minorHAnsi"/>
                <w:b/>
                <w:bCs/>
                <w:u w:val="single"/>
                <w:lang w:bidi="ar-JO"/>
              </w:rPr>
              <w:t xml:space="preserve"> </w:t>
            </w:r>
            <w:r w:rsidRPr="00382A60">
              <w:rPr>
                <w:rFonts w:asciiTheme="minorHAnsi" w:hAnsiTheme="minorHAnsi" w:cstheme="minorHAnsi"/>
                <w:b/>
                <w:bCs/>
                <w:u w:val="single"/>
                <w:lang w:bidi="ar-YE"/>
              </w:rPr>
              <w:t>.</w:t>
            </w:r>
            <w:r w:rsidRPr="00382A60">
              <w:rPr>
                <w:rFonts w:asciiTheme="minorHAnsi" w:hAnsiTheme="minorHAnsi" w:cstheme="minorHAnsi"/>
                <w:b/>
                <w:bCs/>
                <w:u w:val="single"/>
                <w:rtl/>
                <w:lang w:bidi="ar-JO"/>
              </w:rPr>
              <w:t>سلوك الأعمال التجارية.</w:t>
            </w:r>
          </w:p>
          <w:p w14:paraId="58D2E1BA"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إدارة المورد ينبغي أن لا تنتهك الحقوق الأساسية للمستفيدين من منظمة ادرا.</w:t>
            </w:r>
          </w:p>
          <w:p w14:paraId="2D2A7510"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لا ينبغي أن يكون المورد طرف في المشاركات التالية :</w:t>
            </w:r>
          </w:p>
          <w:p w14:paraId="50D9AE25"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1. </w:t>
            </w:r>
            <w:r w:rsidRPr="00382A60">
              <w:rPr>
                <w:rFonts w:asciiTheme="minorHAnsi" w:hAnsiTheme="minorHAnsi" w:cstheme="minorHAnsi"/>
                <w:rtl/>
              </w:rPr>
              <w:t xml:space="preserve">المشاركة في </w:t>
            </w:r>
            <w:r w:rsidRPr="00382A60">
              <w:rPr>
                <w:rFonts w:asciiTheme="minorHAnsi" w:hAnsiTheme="minorHAnsi" w:cstheme="minorHAnsi"/>
                <w:rtl/>
                <w:lang w:bidi="ar-JO"/>
              </w:rPr>
              <w:t xml:space="preserve">صنع الأسلحة </w:t>
            </w:r>
          </w:p>
          <w:p w14:paraId="49FA984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2. في بيع الأسلحة للحكومات التي تنتهك حقوق الإنسان لمواطنيها؛ أوعندما يكون هناك نزاع مسلح داخلي أو توترات؛ أو حيث بيع الأسلحة قد يخل بالسلام والأمن الإقليميين.</w:t>
            </w:r>
          </w:p>
          <w:p w14:paraId="2DB0F001" w14:textId="77777777" w:rsidR="00382A60" w:rsidRPr="00382A60" w:rsidRDefault="00382A60" w:rsidP="00382A60">
            <w:pPr>
              <w:bidi/>
              <w:jc w:val="both"/>
              <w:rPr>
                <w:rFonts w:asciiTheme="minorHAnsi" w:hAnsiTheme="minorHAnsi" w:cstheme="minorHAnsi"/>
                <w:rtl/>
                <w:lang w:bidi="ar-JO"/>
              </w:rPr>
            </w:pPr>
          </w:p>
          <w:p w14:paraId="77F414C7" w14:textId="77777777" w:rsidR="00382A60" w:rsidRPr="00382A60" w:rsidRDefault="00382A60" w:rsidP="00382A60">
            <w:pPr>
              <w:pStyle w:val="ListParagraph"/>
              <w:numPr>
                <w:ilvl w:val="0"/>
                <w:numId w:val="39"/>
              </w:numPr>
              <w:bidi/>
              <w:spacing w:after="200" w:line="276" w:lineRule="auto"/>
              <w:jc w:val="both"/>
              <w:rPr>
                <w:rFonts w:asciiTheme="minorHAnsi" w:hAnsiTheme="minorHAnsi" w:cstheme="minorHAnsi"/>
                <w:b/>
                <w:bCs/>
                <w:u w:val="single"/>
                <w:lang w:bidi="ar-JO"/>
              </w:rPr>
            </w:pPr>
            <w:r w:rsidRPr="00382A60">
              <w:rPr>
                <w:rFonts w:asciiTheme="minorHAnsi" w:hAnsiTheme="minorHAnsi" w:cstheme="minorHAnsi"/>
                <w:b/>
                <w:bCs/>
                <w:u w:val="single"/>
                <w:rtl/>
                <w:lang w:bidi="ar-JO"/>
              </w:rPr>
              <w:t>قواعد وأنظمة الشراء لمنظمة ادرا.</w:t>
            </w:r>
          </w:p>
          <w:p w14:paraId="69CDFBE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ينبغي على الموردين الإمتثال بمخططات قواعد وأنظمة المشتريات المتعلقة والصادرة من منظمة ادرا حسب دليل الإصدار اللوجستي النسخة رقم 1.3. وما بعدها. على وجه الخصوص، سياسة منظمة ادرا للمشتريات المبينة في القسم 2.1 و 2.4 (منح العقد). قبل القيام بذلك، يقر الموردين بأنهم لا يجدون أنفسهم في أي من حالات الإستبعاد المشار إليها تحت الباب 2.4.2.</w:t>
            </w:r>
          </w:p>
          <w:p w14:paraId="1E4565B9" w14:textId="77777777" w:rsidR="00382A60" w:rsidRPr="00382A60" w:rsidRDefault="00382A60" w:rsidP="00382A60">
            <w:pPr>
              <w:rPr>
                <w:rFonts w:asciiTheme="minorHAnsi" w:hAnsiTheme="minorHAnsi" w:cstheme="minorHAnsi"/>
              </w:rPr>
            </w:pPr>
          </w:p>
          <w:p w14:paraId="02B6DBF9" w14:textId="77777777" w:rsidR="00382A60" w:rsidRPr="00382A60" w:rsidRDefault="00382A60" w:rsidP="00382A60">
            <w:pPr>
              <w:bidi/>
              <w:spacing w:line="276" w:lineRule="auto"/>
              <w:jc w:val="both"/>
              <w:rPr>
                <w:rFonts w:asciiTheme="minorHAnsi" w:hAnsiTheme="minorHAnsi" w:cstheme="minorHAnsi"/>
                <w:b/>
                <w:bCs/>
                <w:u w:val="single"/>
                <w:rtl/>
                <w:lang w:bidi="ar-YE"/>
              </w:rPr>
            </w:pPr>
          </w:p>
        </w:tc>
      </w:tr>
      <w:tr w:rsidR="00382A60" w14:paraId="7FBCA2BD" w14:textId="77777777" w:rsidTr="00FE3CEF">
        <w:tc>
          <w:tcPr>
            <w:tcW w:w="5120" w:type="dxa"/>
          </w:tcPr>
          <w:p w14:paraId="680F9405" w14:textId="77777777" w:rsidR="00382A60" w:rsidRPr="00382A60" w:rsidRDefault="00382A60" w:rsidP="00382A60">
            <w:pPr>
              <w:pStyle w:val="H1"/>
              <w:spacing w:before="0" w:after="0"/>
              <w:jc w:val="both"/>
              <w:outlineLvl w:val="9"/>
              <w:rPr>
                <w:rFonts w:asciiTheme="minorHAnsi" w:hAnsiTheme="minorHAnsi" w:cstheme="minorHAnsi"/>
                <w:bCs/>
                <w:sz w:val="20"/>
              </w:rPr>
            </w:pPr>
            <w:r w:rsidRPr="00382A60">
              <w:rPr>
                <w:rFonts w:asciiTheme="minorHAnsi" w:hAnsiTheme="minorHAnsi" w:cstheme="minorHAnsi"/>
                <w:bCs/>
                <w:sz w:val="20"/>
              </w:rPr>
              <w:lastRenderedPageBreak/>
              <w:t xml:space="preserve">Operating Principles </w:t>
            </w:r>
          </w:p>
          <w:p w14:paraId="38AE7F73" w14:textId="77777777" w:rsidR="00382A60" w:rsidRPr="00382A60" w:rsidRDefault="00382A60" w:rsidP="00382A60">
            <w:pPr>
              <w:jc w:val="both"/>
              <w:rPr>
                <w:rFonts w:asciiTheme="minorHAnsi" w:hAnsiTheme="minorHAnsi" w:cstheme="minorHAnsi"/>
              </w:rPr>
            </w:pPr>
          </w:p>
          <w:p w14:paraId="195C2D61"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The implementation of the Code of Conduct will be a shared responsibility between ADRA and its suppliers, informed by a number of operating principles, which will be reviewed from time to time.</w:t>
            </w:r>
          </w:p>
          <w:p w14:paraId="0045AA79" w14:textId="77777777" w:rsidR="00382A60" w:rsidRPr="00382A60" w:rsidRDefault="00382A60" w:rsidP="00382A60">
            <w:pPr>
              <w:jc w:val="both"/>
              <w:rPr>
                <w:rFonts w:asciiTheme="minorHAnsi" w:hAnsiTheme="minorHAnsi" w:cstheme="minorHAnsi"/>
              </w:rPr>
            </w:pPr>
          </w:p>
          <w:p w14:paraId="0BA99B55"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will:</w:t>
            </w:r>
          </w:p>
          <w:p w14:paraId="04B8C847"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Assign responsibility for ensuring compliance with the Code of Conduct to a senior manager. </w:t>
            </w:r>
          </w:p>
          <w:p w14:paraId="3FE7F6B8"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Communicate its commitment to the Code of Conduct to employees, supporters and donors, as well as to all suppliers of goods and services. </w:t>
            </w:r>
          </w:p>
          <w:p w14:paraId="40F0BE7F"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Make appropriate human and financial resources available to meet its stated commitments, including training and guidelines for relevant personnel. </w:t>
            </w:r>
          </w:p>
          <w:p w14:paraId="6EC8F649"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Provide guidance and reasonable non-financial support to suppliers who genuinely seek to promote and implement the Code standards in their own business and in the relevant supply chains, within available resources. </w:t>
            </w:r>
          </w:p>
          <w:p w14:paraId="2E9D3ACB"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Adopt appropriate methods and systems for monitoring and verifying the achievement of the standards. </w:t>
            </w:r>
          </w:p>
          <w:p w14:paraId="60E5435A"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Seek to maximise the beneficial effect of the resources available, e.g. by collaborating with other NGOs, and by prioritising the most likely locations of non-compliance. </w:t>
            </w:r>
          </w:p>
          <w:p w14:paraId="5655CA15" w14:textId="77777777" w:rsidR="00382A60" w:rsidRPr="00382A60" w:rsidRDefault="00382A60" w:rsidP="00382A60">
            <w:pPr>
              <w:jc w:val="both"/>
              <w:rPr>
                <w:rFonts w:asciiTheme="minorHAnsi" w:hAnsiTheme="minorHAnsi" w:cstheme="minorHAnsi"/>
              </w:rPr>
            </w:pPr>
          </w:p>
          <w:p w14:paraId="3436612B"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expects suppliers to:</w:t>
            </w:r>
          </w:p>
          <w:p w14:paraId="253A8AC9"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Accept responsibility for labour and environmental conditions under which products are made and services provided. This includes all work contrADRA or sub-contrADRA and that conducted by home or other out-workers. </w:t>
            </w:r>
          </w:p>
          <w:p w14:paraId="51EB0487"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Assign responsibility for implementing the Code of Conduct to a senior manager.</w:t>
            </w:r>
          </w:p>
          <w:p w14:paraId="4019A222"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Make a written Statement of Intent regarding the company’s policy in relation to the Code of Conduct and how it will be implemented, and communicate this to staff and suppliers as well as to ADRA. </w:t>
            </w:r>
          </w:p>
          <w:p w14:paraId="326DCC31" w14:textId="77777777" w:rsidR="00382A60" w:rsidRPr="00382A60" w:rsidRDefault="00382A60" w:rsidP="00382A60">
            <w:pPr>
              <w:jc w:val="both"/>
              <w:rPr>
                <w:rFonts w:asciiTheme="minorHAnsi" w:hAnsiTheme="minorHAnsi" w:cstheme="minorHAnsi"/>
              </w:rPr>
            </w:pPr>
          </w:p>
          <w:p w14:paraId="393F4579"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 xml:space="preserve">Both parties will </w:t>
            </w:r>
          </w:p>
          <w:p w14:paraId="4B590C59"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require the immediate cessation of serious breaches of the Code and, where these persist, terminate the business relationship. </w:t>
            </w:r>
          </w:p>
          <w:p w14:paraId="323B808F"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Seek to ensure all employees are aware of their rights and involved in the decisions which affect them. </w:t>
            </w:r>
          </w:p>
          <w:p w14:paraId="2FBFB9B4"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Avoid discriminating against enterprises in developing countries. </w:t>
            </w:r>
          </w:p>
          <w:p w14:paraId="6943FA5E"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Recognise official regulation and inspection of workplace standards, and the interests of legitimate trades unions and other representative organisations. </w:t>
            </w:r>
          </w:p>
          <w:p w14:paraId="6FE8C907"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seek arbitration in the case of unresolved disputes.</w:t>
            </w:r>
          </w:p>
          <w:p w14:paraId="5736BC67" w14:textId="77777777" w:rsidR="00382A60" w:rsidRPr="00382A60" w:rsidRDefault="00382A60" w:rsidP="00382A60">
            <w:pPr>
              <w:pStyle w:val="H1"/>
              <w:spacing w:before="0" w:after="0"/>
              <w:jc w:val="both"/>
              <w:outlineLvl w:val="9"/>
              <w:rPr>
                <w:rFonts w:asciiTheme="minorHAnsi" w:hAnsiTheme="minorHAnsi" w:cstheme="minorHAnsi"/>
                <w:bCs/>
                <w:sz w:val="20"/>
                <w:lang w:val="en-US"/>
              </w:rPr>
            </w:pPr>
          </w:p>
        </w:tc>
        <w:tc>
          <w:tcPr>
            <w:tcW w:w="217" w:type="dxa"/>
          </w:tcPr>
          <w:p w14:paraId="69E69747" w14:textId="77777777" w:rsidR="00382A60" w:rsidRDefault="00382A60" w:rsidP="002F6C9C">
            <w:pPr>
              <w:tabs>
                <w:tab w:val="left" w:pos="3528"/>
              </w:tabs>
              <w:rPr>
                <w:rFonts w:ascii="Arial Narrow" w:hAnsi="Arial Narrow" w:cs="Arial"/>
                <w:bCs/>
                <w:sz w:val="22"/>
                <w:lang w:val="en-GB"/>
              </w:rPr>
            </w:pPr>
          </w:p>
        </w:tc>
        <w:tc>
          <w:tcPr>
            <w:tcW w:w="5120" w:type="dxa"/>
          </w:tcPr>
          <w:p w14:paraId="06FD7A62" w14:textId="77777777" w:rsidR="00382A60" w:rsidRPr="00382A60" w:rsidRDefault="00382A60" w:rsidP="00382A60">
            <w:pPr>
              <w:bidi/>
              <w:jc w:val="both"/>
              <w:rPr>
                <w:rFonts w:asciiTheme="minorHAnsi" w:hAnsiTheme="minorHAnsi" w:cstheme="minorHAnsi"/>
                <w:b/>
                <w:bCs/>
                <w:u w:val="single"/>
                <w:rtl/>
                <w:lang w:bidi="ar-JO"/>
              </w:rPr>
            </w:pPr>
            <w:r w:rsidRPr="00382A60">
              <w:rPr>
                <w:rFonts w:asciiTheme="minorHAnsi" w:hAnsiTheme="minorHAnsi" w:cstheme="minorHAnsi"/>
                <w:b/>
                <w:bCs/>
                <w:u w:val="single"/>
                <w:rtl/>
                <w:lang w:bidi="ar-JO"/>
              </w:rPr>
              <w:t>مبادئ التشغيل :</w:t>
            </w:r>
          </w:p>
          <w:p w14:paraId="454CADF6" w14:textId="77777777" w:rsidR="00382A60" w:rsidRPr="00382A60" w:rsidRDefault="00382A60" w:rsidP="00382A60">
            <w:pPr>
              <w:bidi/>
              <w:jc w:val="both"/>
              <w:rPr>
                <w:rFonts w:asciiTheme="minorHAnsi" w:hAnsiTheme="minorHAnsi" w:cstheme="minorHAnsi"/>
                <w:b/>
                <w:bCs/>
                <w:u w:val="single"/>
                <w:rtl/>
                <w:lang w:bidi="ar-JO"/>
              </w:rPr>
            </w:pPr>
          </w:p>
          <w:p w14:paraId="29BA7E3A"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تنفيذ "مدونة السلوك" سوف تكون مسؤولية مشتركة بين منظمة</w:t>
            </w:r>
            <w:r w:rsidRPr="00382A60">
              <w:rPr>
                <w:rFonts w:asciiTheme="minorHAnsi" w:hAnsiTheme="minorHAnsi" w:cstheme="minorHAnsi"/>
                <w:b/>
                <w:bCs/>
                <w:rtl/>
                <w:lang w:bidi="ar-JO"/>
              </w:rPr>
              <w:t xml:space="preserve"> </w:t>
            </w:r>
            <w:r w:rsidRPr="00382A60">
              <w:rPr>
                <w:rFonts w:asciiTheme="minorHAnsi" w:hAnsiTheme="minorHAnsi" w:cstheme="minorHAnsi"/>
                <w:rtl/>
                <w:lang w:bidi="ar-JO"/>
              </w:rPr>
              <w:t>ادرا ومورديها، و حسب عدد من المبادئ التشغيلية، التي سيجري تعديلها من وقت لآخر.</w:t>
            </w:r>
          </w:p>
          <w:p w14:paraId="728931F6"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 ستقوم منظمة ادرا بما يلي :</w:t>
            </w:r>
          </w:p>
          <w:p w14:paraId="144EA1B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المسؤولية على ضمان الإمتثال "بمدونة قواعد السلوك" لأحد كبار المدراء.</w:t>
            </w:r>
          </w:p>
          <w:p w14:paraId="279F440C"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الحث على الالتزام ب "مدونة قواعد السلوك" من قبل العاملين والمؤيدين والجهات المانحة، وكذلك إلى جميع موردي السلع والخدمات.</w:t>
            </w:r>
          </w:p>
          <w:p w14:paraId="24025448"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توفير الموارد البشرية والمالية المناسبة المتاحة للوفاء بالتزاماتها المعلنة، بما في ذلك التدريب على المبادئ التوجيهية للموظفين ذوي الصلة</w:t>
            </w:r>
          </w:p>
          <w:p w14:paraId="0868126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التوجيه والدعم الغير مالي و بالحد المعقول للموردين الذين يسعون لتنفيذ المعايير المدونة في الأعمال التجارية الخاصة بهم، وفي سلاسل التوريد ذات الصلة، في حدود الموارد المتاحة.</w:t>
            </w:r>
          </w:p>
          <w:p w14:paraId="1B97588F"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إعتماد أساليب ملائمة ونظم للرصد والتحقق من تحقيق المعايير.</w:t>
            </w:r>
          </w:p>
          <w:p w14:paraId="182D1695"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تعظيم الأثر الإيجابي للموارد المتاحة، مثلاً عن طريق التعاون مع المنظمات غير الحكومية الأخرى، وإعطاء الأولوية للمواقع الأكثر احتمالاً لعدم الإمتثال.</w:t>
            </w:r>
          </w:p>
          <w:p w14:paraId="14C80130"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وتتوقع منظمة ادرا من الموردين ما يلي:</w:t>
            </w:r>
          </w:p>
          <w:p w14:paraId="57E2449C"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قبول المسؤولية للعمل تحت الظروف البيئية التي يتم بموجبها توفير المنتجات وتقديم الخدمات. وهذا يشمل جميع الأعمال المتعاقد عليها أو التعاقد من الباطن، والتي يجريها العمال التابعين للمورد أو غيرهم.</w:t>
            </w:r>
          </w:p>
          <w:p w14:paraId="1E6EFB07" w14:textId="77777777" w:rsidR="00382A60" w:rsidRPr="00382A60" w:rsidRDefault="00382A60" w:rsidP="00382A60">
            <w:pPr>
              <w:pStyle w:val="ListParagraph"/>
              <w:bidi/>
              <w:jc w:val="both"/>
              <w:rPr>
                <w:rFonts w:asciiTheme="minorHAnsi" w:hAnsiTheme="minorHAnsi" w:cstheme="minorHAnsi"/>
                <w:lang w:bidi="ar-JO"/>
              </w:rPr>
            </w:pPr>
          </w:p>
          <w:p w14:paraId="22A0F3AB"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مسؤولية تنفيذ "مدونة السلوك" لأحد كبار المدراء.</w:t>
            </w:r>
          </w:p>
          <w:p w14:paraId="13B09C79" w14:textId="77777777" w:rsidR="00382A60" w:rsidRPr="00382A60" w:rsidRDefault="00382A60" w:rsidP="00382A60">
            <w:pPr>
              <w:bidi/>
              <w:jc w:val="both"/>
              <w:rPr>
                <w:rFonts w:asciiTheme="minorHAnsi" w:hAnsiTheme="minorHAnsi" w:cstheme="minorHAnsi"/>
                <w:lang w:bidi="ar-JO"/>
              </w:rPr>
            </w:pPr>
          </w:p>
          <w:p w14:paraId="796F8E04"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بيان النية مكتوب فيما يتعلق بسياسة الشركة بما يخص "مدونة السلوك"، وكيف سيتم تنفيذ ذلك، وإبلاغ الموظفين والموردين ومنظمة ادرا بذلك.</w:t>
            </w:r>
          </w:p>
          <w:p w14:paraId="47A83B4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سيكون على كلا من الطرفين العمل بما يلي :</w:t>
            </w:r>
          </w:p>
          <w:p w14:paraId="1BF69DCF" w14:textId="77777777" w:rsidR="00382A60" w:rsidRPr="00382A60" w:rsidRDefault="00382A60" w:rsidP="00382A60">
            <w:pPr>
              <w:bidi/>
              <w:jc w:val="both"/>
              <w:rPr>
                <w:rFonts w:asciiTheme="minorHAnsi" w:hAnsiTheme="minorHAnsi" w:cstheme="minorHAnsi"/>
                <w:rtl/>
                <w:lang w:bidi="ar-JO"/>
              </w:rPr>
            </w:pPr>
          </w:p>
          <w:p w14:paraId="5F10DC93"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يتطلب الوقف الفوري للانتهاكات الخطيرة للتعليمات البرمجية، وحيث ينتج عن استمراريتها  إنهاء العلاقة التجارية.</w:t>
            </w:r>
          </w:p>
          <w:p w14:paraId="24EACD18"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ضمان جميع العاملين التي تدرك حقوقها والمشاركة في إتخاذ القرارات التي تؤثر عليهم</w:t>
            </w:r>
          </w:p>
          <w:p w14:paraId="5ECAD574"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تجنب التمييز ضد المؤسسات في البلدان النامية.</w:t>
            </w:r>
          </w:p>
          <w:p w14:paraId="0AB173FF" w14:textId="77777777" w:rsid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تسلم اللائحة الرسمية والتفتيش في معايير مكان العمل والمصالح المشروعة للنقابات وغيرها من الهيئات التمثيلية.</w:t>
            </w:r>
          </w:p>
          <w:p w14:paraId="4E467328" w14:textId="223FF54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rtl/>
                <w:lang w:bidi="ar-JO"/>
              </w:rPr>
            </w:pPr>
            <w:r w:rsidRPr="00382A60">
              <w:rPr>
                <w:rFonts w:asciiTheme="minorHAnsi" w:hAnsiTheme="minorHAnsi" w:cstheme="minorHAnsi"/>
                <w:rtl/>
                <w:lang w:bidi="ar-JO"/>
              </w:rPr>
              <w:t>التماس التحكيم في حالة المنازعات التي لم تحل بعد</w:t>
            </w:r>
            <w:r w:rsidRPr="003377D3">
              <w:rPr>
                <w:rtl/>
                <w:lang w:bidi="ar-JO"/>
              </w:rPr>
              <w:t>.</w:t>
            </w:r>
          </w:p>
        </w:tc>
      </w:tr>
      <w:tr w:rsidR="00382A60" w14:paraId="1DBB0B53" w14:textId="77777777" w:rsidTr="00FE3CEF">
        <w:tc>
          <w:tcPr>
            <w:tcW w:w="5120" w:type="dxa"/>
          </w:tcPr>
          <w:p w14:paraId="7C77FF55" w14:textId="77777777" w:rsidR="00382A60" w:rsidRPr="00FE3CEF" w:rsidRDefault="00382A60" w:rsidP="00382A60">
            <w:pPr>
              <w:pStyle w:val="H1"/>
              <w:spacing w:before="0" w:after="0"/>
              <w:jc w:val="both"/>
              <w:outlineLvl w:val="9"/>
              <w:rPr>
                <w:rFonts w:asciiTheme="minorHAnsi" w:hAnsiTheme="minorHAnsi" w:cstheme="minorHAnsi"/>
                <w:bCs/>
                <w:sz w:val="18"/>
                <w:szCs w:val="18"/>
                <w:u w:val="single"/>
              </w:rPr>
            </w:pPr>
            <w:r w:rsidRPr="00FE3CEF">
              <w:rPr>
                <w:rFonts w:asciiTheme="minorHAnsi" w:hAnsiTheme="minorHAnsi" w:cstheme="minorHAnsi"/>
                <w:bCs/>
                <w:sz w:val="18"/>
                <w:szCs w:val="18"/>
                <w:u w:val="single"/>
              </w:rPr>
              <w:lastRenderedPageBreak/>
              <w:t xml:space="preserve">Qualifications </w:t>
            </w:r>
            <w:proofErr w:type="gramStart"/>
            <w:r w:rsidRPr="00FE3CEF">
              <w:rPr>
                <w:rFonts w:asciiTheme="minorHAnsi" w:hAnsiTheme="minorHAnsi" w:cstheme="minorHAnsi"/>
                <w:bCs/>
                <w:sz w:val="18"/>
                <w:szCs w:val="18"/>
                <w:u w:val="single"/>
              </w:rPr>
              <w:t>To</w:t>
            </w:r>
            <w:proofErr w:type="gramEnd"/>
            <w:r w:rsidRPr="00FE3CEF">
              <w:rPr>
                <w:rFonts w:asciiTheme="minorHAnsi" w:hAnsiTheme="minorHAnsi" w:cstheme="minorHAnsi"/>
                <w:bCs/>
                <w:sz w:val="18"/>
                <w:szCs w:val="18"/>
                <w:u w:val="single"/>
              </w:rPr>
              <w:t xml:space="preserve"> The Policy Statement</w:t>
            </w:r>
          </w:p>
          <w:p w14:paraId="228B5033" w14:textId="77777777" w:rsidR="00382A60" w:rsidRPr="00FE3CEF" w:rsidRDefault="00382A60" w:rsidP="00382A60">
            <w:pPr>
              <w:jc w:val="both"/>
              <w:rPr>
                <w:rFonts w:asciiTheme="minorHAnsi" w:hAnsiTheme="minorHAnsi" w:cstheme="minorHAnsi"/>
                <w:sz w:val="18"/>
                <w:szCs w:val="18"/>
              </w:rPr>
            </w:pPr>
          </w:p>
          <w:p w14:paraId="559072CB"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The humanitarian imperative is paramount. Where speed of deployment is essential in saving lives, ADRA will purchase necessary goods and services from the most appropriate available source.</w:t>
            </w:r>
          </w:p>
          <w:p w14:paraId="2190AD6A" w14:textId="77777777" w:rsidR="00382A60" w:rsidRPr="00FE3CEF" w:rsidRDefault="00382A60" w:rsidP="00382A60">
            <w:pPr>
              <w:jc w:val="both"/>
              <w:rPr>
                <w:rFonts w:asciiTheme="minorHAnsi" w:hAnsiTheme="minorHAnsi" w:cstheme="minorHAnsi"/>
                <w:sz w:val="18"/>
                <w:szCs w:val="18"/>
              </w:rPr>
            </w:pPr>
          </w:p>
          <w:p w14:paraId="465982EA"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ADRA can accept neither uncontrolled cost increases nor drops in quality. It accepts appropriate internal costs but will work with suppliers to achieve required ethical standards as far as possible at no increase in cost or decrease in quality.</w:t>
            </w:r>
          </w:p>
          <w:p w14:paraId="6DB8BC81"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63249D64"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4D3834D4" w14:textId="77777777" w:rsidR="00382A60" w:rsidRPr="00FE3CEF" w:rsidRDefault="00382A60" w:rsidP="00382A60">
            <w:pPr>
              <w:bidi/>
              <w:jc w:val="both"/>
              <w:rPr>
                <w:rFonts w:asciiTheme="minorHAnsi" w:hAnsiTheme="minorHAnsi" w:cstheme="minorHAnsi"/>
                <w:b/>
                <w:bCs/>
                <w:u w:val="single"/>
                <w:rtl/>
                <w:lang w:bidi="ar-JO"/>
              </w:rPr>
            </w:pPr>
            <w:r w:rsidRPr="00FE3CEF">
              <w:rPr>
                <w:rFonts w:asciiTheme="minorHAnsi" w:hAnsiTheme="minorHAnsi" w:cstheme="minorHAnsi"/>
                <w:b/>
                <w:bCs/>
                <w:u w:val="single"/>
                <w:rtl/>
                <w:lang w:bidi="ar-JO"/>
              </w:rPr>
              <w:t>المؤهلات لبيان السياسة العامة.</w:t>
            </w:r>
          </w:p>
          <w:p w14:paraId="004F7EAA" w14:textId="77777777" w:rsidR="00382A60" w:rsidRPr="00FE3CEF" w:rsidRDefault="00382A60" w:rsidP="00382A60">
            <w:pPr>
              <w:pStyle w:val="ListParagraph"/>
              <w:bidi/>
              <w:ind w:left="1440"/>
              <w:jc w:val="both"/>
              <w:rPr>
                <w:rFonts w:asciiTheme="minorHAnsi" w:hAnsiTheme="minorHAnsi" w:cstheme="minorHAnsi"/>
                <w:b/>
                <w:bCs/>
                <w:u w:val="single"/>
                <w:rtl/>
                <w:lang w:bidi="ar-JO"/>
              </w:rPr>
            </w:pPr>
          </w:p>
          <w:p w14:paraId="04BAE47A"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أن الضرورات الإنسانية أمر بالغ الأهمية. حيث سرعة ال</w:t>
            </w:r>
            <w:r w:rsidRPr="00FE3CEF">
              <w:rPr>
                <w:rFonts w:asciiTheme="minorHAnsi" w:hAnsiTheme="minorHAnsi" w:cstheme="minorHAnsi"/>
                <w:rtl/>
              </w:rPr>
              <w:t>ا</w:t>
            </w:r>
            <w:r w:rsidRPr="00FE3CEF">
              <w:rPr>
                <w:rFonts w:asciiTheme="minorHAnsi" w:hAnsiTheme="minorHAnsi" w:cstheme="minorHAnsi"/>
                <w:rtl/>
                <w:lang w:bidi="ar-JO"/>
              </w:rPr>
              <w:t>نتشار ضرورية لإنقاذ الأرواح، ستقوم منظمة ادرا بشراء السلع الضرورية والخدمات من أنسب مصدر متاح.</w:t>
            </w:r>
          </w:p>
          <w:p w14:paraId="10DBCFF3" w14:textId="77777777" w:rsidR="00382A60" w:rsidRPr="00FE3CEF" w:rsidRDefault="00382A60" w:rsidP="00382A60">
            <w:pPr>
              <w:pStyle w:val="ListParagraph"/>
              <w:bidi/>
              <w:ind w:left="1440"/>
              <w:jc w:val="both"/>
              <w:rPr>
                <w:rFonts w:asciiTheme="minorHAnsi" w:hAnsiTheme="minorHAnsi" w:cstheme="minorHAnsi"/>
                <w:rtl/>
                <w:lang w:bidi="ar-JO"/>
              </w:rPr>
            </w:pPr>
          </w:p>
          <w:p w14:paraId="5BC564E5"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لن تقبل منظمة ادرا الزيادات في الأسعار غير المضبوطة أو الإنخفاض في الجودة. وأن المنظمة تقبل الأسعار المحلية المناسبة ولكن سوف تعمل مع الموردين لتحقيق المعايير الأخلاقية اللازمة قدر الإمكان في أي زيادة في التكاليف أو انخفاض في الجودة.</w:t>
            </w:r>
          </w:p>
          <w:p w14:paraId="0EB70156" w14:textId="46AC7034" w:rsidR="00382A60" w:rsidRPr="00FE3CEF" w:rsidRDefault="00382A60" w:rsidP="00382A60">
            <w:pPr>
              <w:bidi/>
              <w:jc w:val="both"/>
              <w:rPr>
                <w:rFonts w:asciiTheme="minorHAnsi" w:hAnsiTheme="minorHAnsi" w:cstheme="minorHAnsi"/>
                <w:b/>
                <w:bCs/>
                <w:u w:val="single"/>
                <w:rtl/>
                <w:lang w:bidi="ar-JO"/>
              </w:rPr>
            </w:pPr>
          </w:p>
        </w:tc>
      </w:tr>
      <w:tr w:rsidR="00382A60" w14:paraId="6D776D82" w14:textId="77777777" w:rsidTr="00FE3CEF">
        <w:tc>
          <w:tcPr>
            <w:tcW w:w="5120" w:type="dxa"/>
          </w:tcPr>
          <w:p w14:paraId="0A55B875"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bCs/>
                <w:sz w:val="18"/>
                <w:szCs w:val="18"/>
                <w:lang w:val="en-GB"/>
              </w:rPr>
              <w:t>I undersigned ______________________, agree to a</w:t>
            </w:r>
            <w:r w:rsidRPr="00FE3CEF">
              <w:rPr>
                <w:rFonts w:asciiTheme="minorHAnsi" w:hAnsiTheme="minorHAnsi" w:cstheme="minorHAnsi"/>
                <w:sz w:val="18"/>
                <w:szCs w:val="18"/>
              </w:rPr>
              <w:t>dopt the above Code of Conduct and to commit to comply with the labour and environmental standards specified, both in my own company and those of my suppliers.</w:t>
            </w:r>
          </w:p>
          <w:p w14:paraId="15920C1D" w14:textId="77777777" w:rsidR="00382A60" w:rsidRPr="00FE3CEF" w:rsidRDefault="00382A60" w:rsidP="00382A60">
            <w:pPr>
              <w:rPr>
                <w:rFonts w:asciiTheme="minorHAnsi" w:hAnsiTheme="minorHAnsi" w:cstheme="minorHAnsi"/>
                <w:sz w:val="18"/>
                <w:szCs w:val="18"/>
              </w:rPr>
            </w:pPr>
          </w:p>
          <w:p w14:paraId="7537FFBA"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005A6EB2"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7379E81" w14:textId="77777777" w:rsidR="00382A60" w:rsidRPr="00FE3CEF" w:rsidRDefault="00382A60" w:rsidP="00382A60">
            <w:pPr>
              <w:pStyle w:val="ListParagraph"/>
              <w:ind w:left="1440"/>
              <w:jc w:val="both"/>
              <w:rPr>
                <w:rFonts w:asciiTheme="minorHAnsi" w:hAnsiTheme="minorHAnsi" w:cstheme="minorHAnsi"/>
              </w:rPr>
            </w:pPr>
          </w:p>
          <w:p w14:paraId="28555A56" w14:textId="7B5B96E4" w:rsidR="00382A60" w:rsidRPr="00FE3CEF" w:rsidRDefault="00382A60" w:rsidP="00FE3CEF">
            <w:pPr>
              <w:bidi/>
              <w:jc w:val="both"/>
              <w:rPr>
                <w:rFonts w:asciiTheme="minorHAnsi" w:hAnsiTheme="minorHAnsi" w:cstheme="minorHAnsi"/>
                <w:rtl/>
                <w:lang w:bidi="ar-JO"/>
              </w:rPr>
            </w:pPr>
            <w:r w:rsidRPr="00FE3CEF">
              <w:rPr>
                <w:rFonts w:asciiTheme="minorHAnsi" w:hAnsiTheme="minorHAnsi" w:cstheme="minorHAnsi"/>
                <w:rtl/>
                <w:lang w:bidi="ar-JO"/>
              </w:rPr>
              <w:t>أنا الموقع [..................................................]، أوافق على إعتماد "مدونة السلوك" المذكورة أعلاه والإلتزام بالإمتثال للعمل والمعايير البيئية المحددة، سواء في شركتي وشركات الموردين التابعين لي.</w:t>
            </w:r>
          </w:p>
        </w:tc>
      </w:tr>
      <w:tr w:rsidR="00382A60" w14:paraId="408290FE" w14:textId="77777777" w:rsidTr="00FE3CEF">
        <w:tc>
          <w:tcPr>
            <w:tcW w:w="5120" w:type="dxa"/>
          </w:tcPr>
          <w:p w14:paraId="7E3B6119" w14:textId="2320D99D" w:rsidR="00382A60" w:rsidRPr="00FE3CEF" w:rsidRDefault="00382A60" w:rsidP="00382A60">
            <w:pPr>
              <w:pStyle w:val="H1"/>
              <w:spacing w:before="0" w:after="0"/>
              <w:jc w:val="both"/>
              <w:outlineLvl w:val="9"/>
              <w:rPr>
                <w:rFonts w:asciiTheme="minorHAnsi" w:hAnsiTheme="minorHAnsi" w:cstheme="minorHAnsi"/>
                <w:bCs/>
                <w:sz w:val="20"/>
              </w:rPr>
            </w:pPr>
            <w:r w:rsidRPr="00FE3CEF">
              <w:rPr>
                <w:rFonts w:asciiTheme="minorHAnsi" w:hAnsiTheme="minorHAnsi" w:cstheme="minorHAnsi"/>
                <w:sz w:val="18"/>
                <w:szCs w:val="18"/>
              </w:rPr>
              <w:t>Tenderer’s authorized representative</w:t>
            </w:r>
          </w:p>
        </w:tc>
        <w:tc>
          <w:tcPr>
            <w:tcW w:w="217" w:type="dxa"/>
          </w:tcPr>
          <w:p w14:paraId="4708EFFF"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CEBE37A" w14:textId="44F92A14" w:rsidR="00382A60" w:rsidRPr="00FE3CEF" w:rsidRDefault="00FE3CEF" w:rsidP="00FE3CEF">
            <w:pPr>
              <w:bidi/>
              <w:rPr>
                <w:rFonts w:asciiTheme="minorHAnsi" w:hAnsiTheme="minorHAnsi" w:cstheme="minorHAnsi"/>
                <w:b/>
                <w:bCs/>
              </w:rPr>
            </w:pPr>
            <w:r w:rsidRPr="00FE3CEF">
              <w:rPr>
                <w:rFonts w:asciiTheme="minorHAnsi" w:hAnsiTheme="minorHAnsi" w:cstheme="minorHAnsi" w:hint="cs"/>
                <w:b/>
                <w:bCs/>
                <w:rtl/>
                <w:lang w:val="en-GB"/>
              </w:rPr>
              <w:t>المخول</w:t>
            </w:r>
            <w:r w:rsidR="00382A60" w:rsidRPr="00FE3CEF">
              <w:rPr>
                <w:rFonts w:asciiTheme="minorHAnsi" w:hAnsiTheme="minorHAnsi" w:cstheme="minorHAnsi"/>
                <w:b/>
                <w:bCs/>
                <w:rtl/>
                <w:lang w:val="en-GB"/>
              </w:rPr>
              <w:t xml:space="preserve"> لتمثيل مقدم العطاء</w:t>
            </w:r>
            <w:r w:rsidRPr="00FE3CEF">
              <w:rPr>
                <w:rFonts w:asciiTheme="minorHAnsi" w:hAnsiTheme="minorHAnsi" w:cstheme="minorHAnsi" w:hint="cs"/>
                <w:b/>
                <w:bCs/>
                <w:rtl/>
                <w:lang w:val="en-GB"/>
              </w:rPr>
              <w:t>:</w:t>
            </w:r>
          </w:p>
        </w:tc>
      </w:tr>
      <w:tr w:rsidR="00382A60" w14:paraId="2D4A55D5" w14:textId="77777777" w:rsidTr="00FE3CEF">
        <w:tc>
          <w:tcPr>
            <w:tcW w:w="5120" w:type="dxa"/>
          </w:tcPr>
          <w:p w14:paraId="09E5EBE1" w14:textId="366D5093" w:rsidR="00382A60" w:rsidRPr="00FE3CEF" w:rsidRDefault="00FE3CEF" w:rsidP="00382A60">
            <w:pPr>
              <w:pStyle w:val="H1"/>
              <w:spacing w:before="0" w:after="0"/>
              <w:jc w:val="both"/>
              <w:outlineLvl w:val="9"/>
              <w:rPr>
                <w:rFonts w:asciiTheme="minorHAnsi" w:hAnsiTheme="minorHAnsi" w:cstheme="minorHAnsi"/>
                <w:b w:val="0"/>
                <w:sz w:val="18"/>
                <w:szCs w:val="18"/>
                <w:lang w:val="en-US" w:bidi="ar-YE"/>
              </w:rPr>
            </w:pPr>
            <w:r w:rsidRPr="00FE3CEF">
              <w:rPr>
                <w:rFonts w:asciiTheme="minorHAnsi" w:hAnsiTheme="minorHAnsi" w:cstheme="minorHAnsi"/>
                <w:b w:val="0"/>
                <w:sz w:val="18"/>
                <w:szCs w:val="18"/>
                <w:lang w:val="en-US" w:bidi="ar-YE"/>
              </w:rPr>
              <w:t>Name:</w:t>
            </w:r>
          </w:p>
        </w:tc>
        <w:tc>
          <w:tcPr>
            <w:tcW w:w="217" w:type="dxa"/>
          </w:tcPr>
          <w:p w14:paraId="5496BBFA"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5B64A3A" w14:textId="28727429" w:rsidR="00382A60" w:rsidRPr="00FE3CEF" w:rsidRDefault="00FE3CEF" w:rsidP="00FE3CEF">
            <w:pPr>
              <w:bidi/>
              <w:jc w:val="both"/>
              <w:rPr>
                <w:rFonts w:asciiTheme="minorHAnsi" w:hAnsiTheme="minorHAnsi" w:cstheme="minorHAnsi"/>
              </w:rPr>
            </w:pPr>
            <w:r w:rsidRPr="00FE3CEF">
              <w:rPr>
                <w:rFonts w:asciiTheme="minorHAnsi" w:hAnsiTheme="minorHAnsi" w:cstheme="minorHAnsi" w:hint="cs"/>
                <w:rtl/>
                <w:lang w:val="en-GB"/>
              </w:rPr>
              <w:t>اسم</w:t>
            </w:r>
            <w:r w:rsidR="00382A60" w:rsidRPr="00FE3CEF">
              <w:rPr>
                <w:rFonts w:asciiTheme="minorHAnsi" w:hAnsiTheme="minorHAnsi" w:cstheme="minorHAnsi"/>
                <w:rtl/>
                <w:lang w:val="en-GB"/>
              </w:rPr>
              <w:t xml:space="preserve"> المخول</w:t>
            </w:r>
            <w:r>
              <w:rPr>
                <w:rFonts w:asciiTheme="minorHAnsi" w:hAnsiTheme="minorHAnsi" w:cstheme="minorHAnsi" w:hint="cs"/>
                <w:rtl/>
                <w:lang w:val="en-GB"/>
              </w:rPr>
              <w:t>:</w:t>
            </w:r>
          </w:p>
        </w:tc>
      </w:tr>
      <w:tr w:rsidR="00FE3CEF" w14:paraId="045E358D" w14:textId="77777777" w:rsidTr="00FE3CEF">
        <w:tc>
          <w:tcPr>
            <w:tcW w:w="5120" w:type="dxa"/>
          </w:tcPr>
          <w:p w14:paraId="2F6AE107" w14:textId="564166D7"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Signature:</w:t>
            </w:r>
          </w:p>
        </w:tc>
        <w:tc>
          <w:tcPr>
            <w:tcW w:w="217" w:type="dxa"/>
          </w:tcPr>
          <w:p w14:paraId="32478377"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7C8B3ADD" w14:textId="098CDD02"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rPr>
              <w:t>توقيع المخول</w:t>
            </w:r>
            <w:r>
              <w:rPr>
                <w:rFonts w:asciiTheme="minorHAnsi" w:hAnsiTheme="minorHAnsi" w:cstheme="minorHAnsi" w:hint="cs"/>
                <w:rtl/>
                <w:lang w:val="en-GB"/>
              </w:rPr>
              <w:t>:</w:t>
            </w:r>
          </w:p>
        </w:tc>
      </w:tr>
      <w:tr w:rsidR="00FE3CEF" w14:paraId="09885223" w14:textId="77777777" w:rsidTr="00FE3CEF">
        <w:tc>
          <w:tcPr>
            <w:tcW w:w="5120" w:type="dxa"/>
          </w:tcPr>
          <w:p w14:paraId="7208FDFA" w14:textId="5DDE18FE"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Date:</w:t>
            </w:r>
          </w:p>
        </w:tc>
        <w:tc>
          <w:tcPr>
            <w:tcW w:w="217" w:type="dxa"/>
          </w:tcPr>
          <w:p w14:paraId="5E044DBD"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6627377B" w14:textId="18C6E989"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التاريخ</w:t>
            </w:r>
            <w:r>
              <w:rPr>
                <w:rFonts w:asciiTheme="minorHAnsi" w:hAnsiTheme="minorHAnsi" w:cstheme="minorHAnsi" w:hint="cs"/>
                <w:rtl/>
                <w:lang w:val="en-GB" w:bidi="ar-BH"/>
              </w:rPr>
              <w:t>:</w:t>
            </w:r>
          </w:p>
        </w:tc>
      </w:tr>
      <w:tr w:rsidR="00FE3CEF" w14:paraId="14858D49" w14:textId="77777777" w:rsidTr="00FE3CEF">
        <w:tc>
          <w:tcPr>
            <w:tcW w:w="5120" w:type="dxa"/>
          </w:tcPr>
          <w:p w14:paraId="622F04F9" w14:textId="227E4D5D"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Stamp:</w:t>
            </w:r>
          </w:p>
        </w:tc>
        <w:tc>
          <w:tcPr>
            <w:tcW w:w="217" w:type="dxa"/>
          </w:tcPr>
          <w:p w14:paraId="40DEA604"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3893ADF6" w14:textId="7D00901D"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الختم</w:t>
            </w:r>
            <w:r>
              <w:rPr>
                <w:rFonts w:asciiTheme="minorHAnsi" w:hAnsiTheme="minorHAnsi" w:cstheme="minorHAnsi" w:hint="cs"/>
                <w:rtl/>
                <w:lang w:val="en-GB" w:bidi="ar-BH"/>
              </w:rPr>
              <w:t>:</w:t>
            </w:r>
          </w:p>
        </w:tc>
      </w:tr>
    </w:tbl>
    <w:p w14:paraId="23F9577C" w14:textId="77777777" w:rsidR="00382A60" w:rsidRPr="0073536B" w:rsidRDefault="00382A60" w:rsidP="002F6C9C">
      <w:pPr>
        <w:tabs>
          <w:tab w:val="left" w:pos="3528"/>
        </w:tabs>
        <w:rPr>
          <w:rFonts w:ascii="Arial Narrow" w:hAnsi="Arial Narrow" w:cs="Arial"/>
          <w:bCs/>
          <w:sz w:val="22"/>
        </w:rPr>
      </w:pPr>
    </w:p>
    <w:p w14:paraId="3F4FB1F2" w14:textId="35035EA8" w:rsidR="005B0303" w:rsidRPr="008A0167" w:rsidRDefault="005B0303" w:rsidP="005B0303">
      <w:pPr>
        <w:bidi/>
        <w:jc w:val="both"/>
        <w:rPr>
          <w:rFonts w:ascii="Arial Narrow" w:hAnsi="Arial Narrow" w:cs="Arial"/>
          <w:bCs/>
          <w:sz w:val="22"/>
          <w:szCs w:val="22"/>
          <w:u w:val="single"/>
          <w:lang w:val="en-GB" w:bidi="ar-YE"/>
        </w:rPr>
      </w:pPr>
    </w:p>
    <w:p w14:paraId="7A9BD7CB" w14:textId="2DD73988" w:rsidR="005B0303" w:rsidRDefault="005B0303" w:rsidP="00382A60">
      <w:pPr>
        <w:bidi/>
        <w:jc w:val="both"/>
        <w:rPr>
          <w:rtl/>
          <w:lang w:bidi="ar-JO"/>
        </w:rPr>
      </w:pPr>
    </w:p>
    <w:p w14:paraId="2C886C35" w14:textId="24FF107B" w:rsidR="005B0303" w:rsidRPr="00FE3CEF" w:rsidRDefault="005B0303" w:rsidP="00FE3CEF">
      <w:pPr>
        <w:bidi/>
        <w:rPr>
          <w:rFonts w:ascii="Arial Narrow" w:hAnsi="Arial Narrow" w:cs="Arial"/>
          <w:sz w:val="22"/>
          <w:szCs w:val="22"/>
        </w:rPr>
      </w:pPr>
    </w:p>
    <w:p w14:paraId="4990814A" w14:textId="268FB7CB" w:rsidR="005B0303" w:rsidRPr="00B22348"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p>
    <w:p w14:paraId="47BCC8C7" w14:textId="77777777" w:rsidR="005B0303" w:rsidRPr="00B22348" w:rsidRDefault="005B0303" w:rsidP="005B0303">
      <w:pPr>
        <w:pStyle w:val="ListParagraph"/>
        <w:bidi/>
        <w:ind w:left="1440"/>
        <w:rPr>
          <w:rFonts w:ascii="Arial Narrow" w:hAnsi="Arial Narrow" w:cs="Arial"/>
          <w:sz w:val="22"/>
          <w:szCs w:val="22"/>
          <w:lang w:val="en-GB" w:bidi="ar-YE"/>
        </w:rPr>
      </w:pPr>
    </w:p>
    <w:p w14:paraId="3B16C651" w14:textId="63A92102" w:rsidR="005B0303" w:rsidRPr="008A0167"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p>
    <w:p w14:paraId="55EABAC8" w14:textId="4397FA6B" w:rsidR="008A0167" w:rsidRPr="008A0167" w:rsidRDefault="008A0167" w:rsidP="00525689">
      <w:pPr>
        <w:rPr>
          <w:rFonts w:ascii="Arial Narrow" w:hAnsi="Arial Narrow" w:cs="Arial"/>
          <w:sz w:val="22"/>
          <w:szCs w:val="22"/>
          <w:lang w:val="en-GB"/>
        </w:rPr>
      </w:pPr>
    </w:p>
    <w:sectPr w:rsidR="008A0167" w:rsidRPr="008A0167" w:rsidSect="00424615">
      <w:headerReference w:type="default" r:id="rId8"/>
      <w:footerReference w:type="default" r:id="rId9"/>
      <w:type w:val="continuous"/>
      <w:pgSz w:w="11907" w:h="16834" w:code="9"/>
      <w:pgMar w:top="720" w:right="720" w:bottom="720" w:left="720" w:header="180" w:footer="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0E0C" w14:textId="77777777" w:rsidR="002D73BB" w:rsidRDefault="002D73BB">
      <w:r>
        <w:separator/>
      </w:r>
    </w:p>
  </w:endnote>
  <w:endnote w:type="continuationSeparator" w:id="0">
    <w:p w14:paraId="44F6AF94" w14:textId="77777777" w:rsidR="002D73BB" w:rsidRDefault="002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8704" w14:textId="7AA4AB00" w:rsidR="007C5FD1" w:rsidRPr="00FE3CEF" w:rsidRDefault="00FE3CEF">
    <w:pPr>
      <w:pStyle w:val="Footer"/>
      <w:rPr>
        <w:rFonts w:asciiTheme="minorHAnsi" w:hAnsiTheme="minorHAnsi" w:cstheme="minorHAnsi"/>
        <w:sz w:val="16"/>
        <w:szCs w:val="16"/>
        <w:rtl/>
        <w:lang w:bidi="ar-BH"/>
      </w:rPr>
    </w:pPr>
    <w:r w:rsidRPr="00FE3CEF">
      <w:rPr>
        <w:rFonts w:asciiTheme="minorHAnsi" w:hAnsiTheme="minorHAnsi" w:cstheme="minorHAnsi"/>
        <w:sz w:val="16"/>
        <w:szCs w:val="16"/>
      </w:rPr>
      <w:t>Bidder Authorized Representative Initial</w:t>
    </w:r>
    <w:r>
      <w:rPr>
        <w:rFonts w:asciiTheme="minorHAnsi" w:hAnsiTheme="minorHAnsi" w:cstheme="minorHAnsi" w:hint="cs"/>
        <w:sz w:val="16"/>
        <w:szCs w:val="16"/>
        <w:rtl/>
      </w:rPr>
      <w:t xml:space="preserve">  </w:t>
    </w:r>
    <w:r>
      <w:rPr>
        <w:rFonts w:asciiTheme="minorHAnsi" w:hAnsiTheme="minorHAnsi" w:cstheme="minorHAnsi"/>
        <w:sz w:val="16"/>
        <w:szCs w:val="16"/>
      </w:rPr>
      <w:t xml:space="preserve">                                                                     </w:t>
    </w:r>
    <w:r w:rsidR="0073536B" w:rsidRPr="0073536B">
      <w:rPr>
        <w:rFonts w:asciiTheme="minorHAnsi" w:hAnsiTheme="minorHAnsi" w:cstheme="minorHAnsi"/>
        <w:sz w:val="16"/>
        <w:szCs w:val="16"/>
      </w:rPr>
      <w:t xml:space="preserve">Page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PAGE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1</w:t>
    </w:r>
    <w:r w:rsidR="0073536B" w:rsidRPr="0073536B">
      <w:rPr>
        <w:rFonts w:asciiTheme="minorHAnsi" w:hAnsiTheme="minorHAnsi" w:cstheme="minorHAnsi"/>
        <w:b/>
        <w:bCs/>
        <w:sz w:val="16"/>
        <w:szCs w:val="16"/>
      </w:rPr>
      <w:fldChar w:fldCharType="end"/>
    </w:r>
    <w:r w:rsidR="0073536B" w:rsidRPr="0073536B">
      <w:rPr>
        <w:rFonts w:asciiTheme="minorHAnsi" w:hAnsiTheme="minorHAnsi" w:cstheme="minorHAnsi"/>
        <w:sz w:val="16"/>
        <w:szCs w:val="16"/>
      </w:rPr>
      <w:t xml:space="preserve"> of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NUMPAGES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2</w:t>
    </w:r>
    <w:r w:rsidR="0073536B" w:rsidRPr="0073536B">
      <w:rPr>
        <w:rFonts w:asciiTheme="minorHAnsi" w:hAnsiTheme="minorHAnsi" w:cstheme="minorHAnsi"/>
        <w:b/>
        <w:bCs/>
        <w:sz w:val="16"/>
        <w:szCs w:val="16"/>
      </w:rPr>
      <w:fldChar w:fldCharType="end"/>
    </w: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hint="cs"/>
        <w:sz w:val="16"/>
        <w:szCs w:val="16"/>
        <w:rtl/>
        <w:lang w:bidi="ar-BH"/>
      </w:rPr>
      <w:t>توقيع المخول من مقدم العطاء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6AB5" w14:textId="77777777" w:rsidR="002D73BB" w:rsidRDefault="002D73BB">
      <w:r>
        <w:separator/>
      </w:r>
    </w:p>
  </w:footnote>
  <w:footnote w:type="continuationSeparator" w:id="0">
    <w:p w14:paraId="0CBFD6E5" w14:textId="77777777" w:rsidR="002D73BB" w:rsidRDefault="002D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21C8" w14:textId="02373402" w:rsidR="00567DFC" w:rsidRDefault="00DF05C3" w:rsidP="00567DFC">
    <w:pPr>
      <w:pStyle w:val="Heading5"/>
      <w:rPr>
        <w:b w:val="0"/>
        <w:bCs/>
        <w:sz w:val="56"/>
        <w:szCs w:val="16"/>
        <w:rtl/>
        <w:lang w:val="en-US"/>
      </w:rPr>
    </w:pPr>
    <w:r>
      <w:rPr>
        <w:noProof/>
        <w:lang w:val="en-US"/>
      </w:rPr>
      <w:drawing>
        <wp:inline distT="0" distB="0" distL="0" distR="0" wp14:anchorId="14927D3B" wp14:editId="513BE7C4">
          <wp:extent cx="1211580" cy="366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855" cy="373736"/>
                  </a:xfrm>
                  <a:prstGeom prst="rect">
                    <a:avLst/>
                  </a:prstGeom>
                  <a:noFill/>
                  <a:ln>
                    <a:noFill/>
                  </a:ln>
                </pic:spPr>
              </pic:pic>
            </a:graphicData>
          </a:graphic>
        </wp:inline>
      </w:drawing>
    </w:r>
  </w:p>
  <w:p w14:paraId="2FE0BACF" w14:textId="6F53A6C9" w:rsidR="009850F8" w:rsidRPr="00120954" w:rsidRDefault="009850F8" w:rsidP="00424615">
    <w:pPr>
      <w:jc w:val="center"/>
      <w:rPr>
        <w:rFonts w:asciiTheme="minorBidi" w:hAnsiTheme="minorBidi" w:cstheme="minorBidi"/>
        <w:lang w:val="fr-FR"/>
      </w:rPr>
    </w:pPr>
    <w:r>
      <w:rPr>
        <w:rFonts w:asciiTheme="minorBidi" w:hAnsiTheme="minorBidi" w:cstheme="minorBidi"/>
        <w:color w:val="0070C0"/>
        <w:lang w:val="fr-FR"/>
      </w:rPr>
      <w:t>[</w:t>
    </w:r>
    <w:r w:rsidRPr="0073536B">
      <w:rPr>
        <w:rFonts w:ascii="Calibri" w:hAnsi="Calibri" w:cs="Calibri"/>
        <w:color w:val="0033CC"/>
      </w:rPr>
      <w:t>Tender No.</w:t>
    </w:r>
    <w:r>
      <w:rPr>
        <w:rFonts w:asciiTheme="minorBidi" w:hAnsiTheme="minorBidi" w:cstheme="minorBidi"/>
        <w:color w:val="0070C0"/>
        <w:lang w:val="fr-FR"/>
      </w:rPr>
      <w:t xml:space="preserve"> </w:t>
    </w:r>
    <w:r w:rsidR="0073536B" w:rsidRPr="0073536B">
      <w:rPr>
        <w:rFonts w:ascii="Calibri" w:hAnsi="Calibri" w:cs="Calibri"/>
        <w:color w:val="0033CC"/>
      </w:rPr>
      <w:t>ADRA-YMA-00</w:t>
    </w:r>
    <w:r w:rsidR="00980B86">
      <w:rPr>
        <w:rFonts w:ascii="Calibri" w:hAnsi="Calibri" w:cs="Calibri"/>
        <w:color w:val="0033CC"/>
      </w:rPr>
      <w:t>94</w:t>
    </w:r>
    <w:r w:rsidR="0073536B" w:rsidRPr="0073536B">
      <w:rPr>
        <w:rFonts w:ascii="Calibri" w:hAnsi="Calibri" w:cs="Calibri"/>
        <w:color w:val="0033CC"/>
      </w:rPr>
      <w:t>-2021-0</w:t>
    </w:r>
    <w:r w:rsidR="00B33C4A">
      <w:rPr>
        <w:rFonts w:ascii="Calibri" w:hAnsi="Calibri" w:cs="Calibri"/>
        <w:color w:val="0033CC"/>
      </w:rPr>
      <w:t>1</w:t>
    </w:r>
    <w:r>
      <w:rPr>
        <w:rFonts w:asciiTheme="minorBidi" w:hAnsiTheme="minorBidi" w:cstheme="minorBidi"/>
        <w:color w:val="0070C0"/>
        <w:lang w:val="fr-FR"/>
      </w:rPr>
      <w:t>]</w:t>
    </w:r>
  </w:p>
  <w:p w14:paraId="1E797720" w14:textId="77777777" w:rsidR="00663852" w:rsidRPr="00663852" w:rsidRDefault="00663852" w:rsidP="0066385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2967616"/>
    <w:multiLevelType w:val="hybridMultilevel"/>
    <w:tmpl w:val="096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46691"/>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D4B21"/>
    <w:multiLevelType w:val="hybridMultilevel"/>
    <w:tmpl w:val="063A1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01D20"/>
    <w:multiLevelType w:val="hybridMultilevel"/>
    <w:tmpl w:val="96D2A1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E21F08"/>
    <w:multiLevelType w:val="hybridMultilevel"/>
    <w:tmpl w:val="7A74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8214498"/>
    <w:multiLevelType w:val="hybridMultilevel"/>
    <w:tmpl w:val="878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82409"/>
    <w:multiLevelType w:val="hybridMultilevel"/>
    <w:tmpl w:val="B6C08D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317C7"/>
    <w:multiLevelType w:val="hybridMultilevel"/>
    <w:tmpl w:val="D604D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415EC"/>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7543BA"/>
    <w:multiLevelType w:val="hybridMultilevel"/>
    <w:tmpl w:val="1874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0D0C28"/>
    <w:multiLevelType w:val="hybridMultilevel"/>
    <w:tmpl w:val="34B6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12"/>
  </w:num>
  <w:num w:numId="7">
    <w:abstractNumId w:val="25"/>
  </w:num>
  <w:num w:numId="8">
    <w:abstractNumId w:val="28"/>
  </w:num>
  <w:num w:numId="9">
    <w:abstractNumId w:val="32"/>
  </w:num>
  <w:num w:numId="10">
    <w:abstractNumId w:val="9"/>
  </w:num>
  <w:num w:numId="11">
    <w:abstractNumId w:val="5"/>
  </w:num>
  <w:num w:numId="12">
    <w:abstractNumId w:val="19"/>
  </w:num>
  <w:num w:numId="13">
    <w:abstractNumId w:val="34"/>
  </w:num>
  <w:num w:numId="14">
    <w:abstractNumId w:val="13"/>
  </w:num>
  <w:num w:numId="15">
    <w:abstractNumId w:val="27"/>
  </w:num>
  <w:num w:numId="16">
    <w:abstractNumId w:val="37"/>
  </w:num>
  <w:num w:numId="17">
    <w:abstractNumId w:val="22"/>
  </w:num>
  <w:num w:numId="18">
    <w:abstractNumId w:val="29"/>
  </w:num>
  <w:num w:numId="19">
    <w:abstractNumId w:val="23"/>
  </w:num>
  <w:num w:numId="20">
    <w:abstractNumId w:val="11"/>
  </w:num>
  <w:num w:numId="21">
    <w:abstractNumId w:val="31"/>
  </w:num>
  <w:num w:numId="22">
    <w:abstractNumId w:val="20"/>
  </w:num>
  <w:num w:numId="23">
    <w:abstractNumId w:val="21"/>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2345" w:hanging="360"/>
        </w:pPr>
        <w:rPr>
          <w:rFonts w:ascii="Symbol" w:hAnsi="Symbol" w:hint="default"/>
        </w:rPr>
      </w:lvl>
    </w:lvlOverride>
  </w:num>
  <w:num w:numId="30">
    <w:abstractNumId w:val="7"/>
  </w:num>
  <w:num w:numId="31">
    <w:abstractNumId w:val="36"/>
  </w:num>
  <w:num w:numId="32">
    <w:abstractNumId w:val="38"/>
  </w:num>
  <w:num w:numId="33">
    <w:abstractNumId w:val="15"/>
  </w:num>
  <w:num w:numId="34">
    <w:abstractNumId w:val="35"/>
  </w:num>
  <w:num w:numId="35">
    <w:abstractNumId w:val="10"/>
  </w:num>
  <w:num w:numId="36">
    <w:abstractNumId w:val="6"/>
  </w:num>
  <w:num w:numId="37">
    <w:abstractNumId w:val="30"/>
  </w:num>
  <w:num w:numId="38">
    <w:abstractNumId w:val="39"/>
  </w:num>
  <w:num w:numId="39">
    <w:abstractNumId w:val="33"/>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DD"/>
    <w:rsid w:val="00003FBB"/>
    <w:rsid w:val="0001718D"/>
    <w:rsid w:val="0002474F"/>
    <w:rsid w:val="00044F51"/>
    <w:rsid w:val="0007076B"/>
    <w:rsid w:val="000937D8"/>
    <w:rsid w:val="000C6DE5"/>
    <w:rsid w:val="000D2F74"/>
    <w:rsid w:val="000F6365"/>
    <w:rsid w:val="00101A88"/>
    <w:rsid w:val="00140900"/>
    <w:rsid w:val="00156607"/>
    <w:rsid w:val="001672EB"/>
    <w:rsid w:val="00181E3B"/>
    <w:rsid w:val="001A02B7"/>
    <w:rsid w:val="001B2E6D"/>
    <w:rsid w:val="001B56C5"/>
    <w:rsid w:val="001C7D90"/>
    <w:rsid w:val="001D26AE"/>
    <w:rsid w:val="001F3311"/>
    <w:rsid w:val="00227DC0"/>
    <w:rsid w:val="002321FB"/>
    <w:rsid w:val="002353FB"/>
    <w:rsid w:val="002400C3"/>
    <w:rsid w:val="002475A6"/>
    <w:rsid w:val="00251294"/>
    <w:rsid w:val="0025362F"/>
    <w:rsid w:val="0027705E"/>
    <w:rsid w:val="00283F46"/>
    <w:rsid w:val="002D0535"/>
    <w:rsid w:val="002D73BB"/>
    <w:rsid w:val="002E35A8"/>
    <w:rsid w:val="002E708B"/>
    <w:rsid w:val="002E7A6E"/>
    <w:rsid w:val="002F6C9C"/>
    <w:rsid w:val="002F75F9"/>
    <w:rsid w:val="002F7853"/>
    <w:rsid w:val="00301EBD"/>
    <w:rsid w:val="00313906"/>
    <w:rsid w:val="00341ADD"/>
    <w:rsid w:val="00345817"/>
    <w:rsid w:val="0035060F"/>
    <w:rsid w:val="003617CB"/>
    <w:rsid w:val="003773AA"/>
    <w:rsid w:val="00382A60"/>
    <w:rsid w:val="003D4804"/>
    <w:rsid w:val="003E6310"/>
    <w:rsid w:val="003F3CE7"/>
    <w:rsid w:val="003F478C"/>
    <w:rsid w:val="00403E32"/>
    <w:rsid w:val="0042214E"/>
    <w:rsid w:val="004235F8"/>
    <w:rsid w:val="00424615"/>
    <w:rsid w:val="00447809"/>
    <w:rsid w:val="004C3185"/>
    <w:rsid w:val="00510866"/>
    <w:rsid w:val="00514427"/>
    <w:rsid w:val="00525689"/>
    <w:rsid w:val="00552615"/>
    <w:rsid w:val="00567DFC"/>
    <w:rsid w:val="0058008E"/>
    <w:rsid w:val="005923DE"/>
    <w:rsid w:val="005B0303"/>
    <w:rsid w:val="005C1879"/>
    <w:rsid w:val="005D4B5C"/>
    <w:rsid w:val="005D7BC4"/>
    <w:rsid w:val="005E5AF8"/>
    <w:rsid w:val="006079FE"/>
    <w:rsid w:val="00616CCD"/>
    <w:rsid w:val="006206EE"/>
    <w:rsid w:val="00653312"/>
    <w:rsid w:val="00663852"/>
    <w:rsid w:val="006D66C6"/>
    <w:rsid w:val="006E6E20"/>
    <w:rsid w:val="006F5DB9"/>
    <w:rsid w:val="006F78DD"/>
    <w:rsid w:val="00711FCF"/>
    <w:rsid w:val="0073536B"/>
    <w:rsid w:val="00747F1A"/>
    <w:rsid w:val="00760B98"/>
    <w:rsid w:val="007753F8"/>
    <w:rsid w:val="00783C64"/>
    <w:rsid w:val="007C5FD1"/>
    <w:rsid w:val="007D3C0C"/>
    <w:rsid w:val="007E0BD7"/>
    <w:rsid w:val="007E482E"/>
    <w:rsid w:val="00832544"/>
    <w:rsid w:val="00842F7E"/>
    <w:rsid w:val="00865DFD"/>
    <w:rsid w:val="00871E31"/>
    <w:rsid w:val="00871EF5"/>
    <w:rsid w:val="00873795"/>
    <w:rsid w:val="00893BD3"/>
    <w:rsid w:val="0089474F"/>
    <w:rsid w:val="008A0167"/>
    <w:rsid w:val="008A31BC"/>
    <w:rsid w:val="008B751D"/>
    <w:rsid w:val="008C7E80"/>
    <w:rsid w:val="008D30E5"/>
    <w:rsid w:val="009017AE"/>
    <w:rsid w:val="009017DA"/>
    <w:rsid w:val="00901866"/>
    <w:rsid w:val="0090764F"/>
    <w:rsid w:val="009238DA"/>
    <w:rsid w:val="0093548E"/>
    <w:rsid w:val="00940E10"/>
    <w:rsid w:val="00980B86"/>
    <w:rsid w:val="009850F8"/>
    <w:rsid w:val="00991DB5"/>
    <w:rsid w:val="0099758F"/>
    <w:rsid w:val="009C04C1"/>
    <w:rsid w:val="009C3F5C"/>
    <w:rsid w:val="009D7071"/>
    <w:rsid w:val="009E21CF"/>
    <w:rsid w:val="009F0D90"/>
    <w:rsid w:val="00A167A9"/>
    <w:rsid w:val="00A32019"/>
    <w:rsid w:val="00A67A6E"/>
    <w:rsid w:val="00A827D1"/>
    <w:rsid w:val="00AA0A15"/>
    <w:rsid w:val="00AA349B"/>
    <w:rsid w:val="00AA3D47"/>
    <w:rsid w:val="00AB2E9B"/>
    <w:rsid w:val="00AD482B"/>
    <w:rsid w:val="00AF2D2E"/>
    <w:rsid w:val="00AF702A"/>
    <w:rsid w:val="00B02140"/>
    <w:rsid w:val="00B33C4A"/>
    <w:rsid w:val="00B41436"/>
    <w:rsid w:val="00B50BEB"/>
    <w:rsid w:val="00B71981"/>
    <w:rsid w:val="00B74E53"/>
    <w:rsid w:val="00B94401"/>
    <w:rsid w:val="00C41B55"/>
    <w:rsid w:val="00C42FBE"/>
    <w:rsid w:val="00C44615"/>
    <w:rsid w:val="00C56838"/>
    <w:rsid w:val="00C60185"/>
    <w:rsid w:val="00C6317A"/>
    <w:rsid w:val="00C85E36"/>
    <w:rsid w:val="00CB6437"/>
    <w:rsid w:val="00CC2CE2"/>
    <w:rsid w:val="00CE2103"/>
    <w:rsid w:val="00CE780F"/>
    <w:rsid w:val="00CF0A6E"/>
    <w:rsid w:val="00CF6F1A"/>
    <w:rsid w:val="00D5489A"/>
    <w:rsid w:val="00D80F78"/>
    <w:rsid w:val="00DF05C3"/>
    <w:rsid w:val="00DF0FB1"/>
    <w:rsid w:val="00E167A4"/>
    <w:rsid w:val="00E222C6"/>
    <w:rsid w:val="00E30D52"/>
    <w:rsid w:val="00E34C84"/>
    <w:rsid w:val="00E445D3"/>
    <w:rsid w:val="00E706B9"/>
    <w:rsid w:val="00E7339F"/>
    <w:rsid w:val="00E94BC5"/>
    <w:rsid w:val="00EA19CB"/>
    <w:rsid w:val="00EB2AAE"/>
    <w:rsid w:val="00EC242C"/>
    <w:rsid w:val="00ED4838"/>
    <w:rsid w:val="00F20E7F"/>
    <w:rsid w:val="00F44209"/>
    <w:rsid w:val="00F770E9"/>
    <w:rsid w:val="00FB3900"/>
    <w:rsid w:val="00FB41D9"/>
    <w:rsid w:val="00FD4DCD"/>
    <w:rsid w:val="00FE3C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E4CF"/>
  <w15:docId w15:val="{20435840-8707-47A1-9342-9D0195C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link w:val="Heading2Char"/>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CommentTextChar">
    <w:name w:val="Comment Text Char"/>
    <w:link w:val="CommentText"/>
    <w:semiHidden/>
    <w:rsid w:val="00E706B9"/>
    <w:rPr>
      <w:noProof/>
      <w:lang w:val="en-US" w:eastAsia="en-US"/>
    </w:rPr>
  </w:style>
  <w:style w:type="paragraph" w:styleId="CommentSubject">
    <w:name w:val="annotation subject"/>
    <w:basedOn w:val="CommentText"/>
    <w:next w:val="CommentText"/>
    <w:link w:val="CommentSubjectChar"/>
    <w:semiHidden/>
    <w:unhideWhenUsed/>
    <w:rsid w:val="005E5AF8"/>
    <w:rPr>
      <w:b/>
      <w:bCs/>
    </w:rPr>
  </w:style>
  <w:style w:type="character" w:customStyle="1" w:styleId="CommentSubjectChar">
    <w:name w:val="Comment Subject Char"/>
    <w:basedOn w:val="CommentTextChar"/>
    <w:link w:val="CommentSubject"/>
    <w:semiHidden/>
    <w:rsid w:val="005E5AF8"/>
    <w:rPr>
      <w:b/>
      <w:bCs/>
      <w:noProof/>
      <w:lang w:val="en-US" w:eastAsia="en-US"/>
    </w:rPr>
  </w:style>
  <w:style w:type="character" w:customStyle="1" w:styleId="FooterChar">
    <w:name w:val="Footer Char"/>
    <w:basedOn w:val="DefaultParagraphFont"/>
    <w:link w:val="Footer"/>
    <w:uiPriority w:val="99"/>
    <w:rsid w:val="005B0303"/>
    <w:rPr>
      <w:noProof/>
      <w:lang w:val="en-US" w:eastAsia="en-US"/>
    </w:rPr>
  </w:style>
  <w:style w:type="character" w:customStyle="1" w:styleId="Heading2Char">
    <w:name w:val="Heading 2 Char"/>
    <w:basedOn w:val="DefaultParagraphFont"/>
    <w:link w:val="Heading2"/>
    <w:rsid w:val="005B0303"/>
    <w:rPr>
      <w:b/>
      <w:sz w:val="22"/>
      <w:u w:val="single"/>
      <w:lang w:val="en-GB" w:eastAsia="en-US"/>
    </w:rPr>
  </w:style>
  <w:style w:type="table" w:styleId="TableGrid">
    <w:name w:val="Table Grid"/>
    <w:basedOn w:val="TableNormal"/>
    <w:rsid w:val="0042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41A3-70A0-424C-98B2-18FD7A9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2729</Words>
  <Characters>15561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Basma Ali</cp:lastModifiedBy>
  <cp:revision>9</cp:revision>
  <cp:lastPrinted>2020-01-07T07:21:00Z</cp:lastPrinted>
  <dcterms:created xsi:type="dcterms:W3CDTF">2021-08-01T19:22:00Z</dcterms:created>
  <dcterms:modified xsi:type="dcterms:W3CDTF">2021-08-29T07:00:00Z</dcterms:modified>
</cp:coreProperties>
</file>